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10356" w:type="dxa"/>
        <w:tblLayout w:type="fixed"/>
        <w:tblCellMar>
          <w:left w:w="0" w:type="dxa"/>
          <w:right w:w="0" w:type="dxa"/>
        </w:tblCellMar>
        <w:tblLook w:val="01E0" w:firstRow="1" w:lastRow="1" w:firstColumn="1" w:lastColumn="1" w:noHBand="0" w:noVBand="0"/>
      </w:tblPr>
      <w:tblGrid>
        <w:gridCol w:w="1276"/>
        <w:gridCol w:w="2977"/>
        <w:gridCol w:w="3268"/>
        <w:gridCol w:w="2835"/>
      </w:tblGrid>
      <w:tr w:rsidR="00734243" w:rsidRPr="0023157B" w14:paraId="07B681FC" w14:textId="77777777" w:rsidTr="00E21DBA">
        <w:trPr>
          <w:cantSplit/>
          <w:trHeight w:hRule="exact" w:val="851"/>
        </w:trPr>
        <w:tc>
          <w:tcPr>
            <w:tcW w:w="1276" w:type="dxa"/>
            <w:tcBorders>
              <w:bottom w:val="single" w:sz="4" w:space="0" w:color="auto"/>
            </w:tcBorders>
            <w:shd w:val="clear" w:color="auto" w:fill="auto"/>
            <w:vAlign w:val="bottom"/>
          </w:tcPr>
          <w:p w14:paraId="43D80A98" w14:textId="77777777" w:rsidR="00734243" w:rsidRDefault="00734243" w:rsidP="00133512">
            <w:pPr>
              <w:spacing w:after="80"/>
            </w:pPr>
          </w:p>
        </w:tc>
        <w:tc>
          <w:tcPr>
            <w:tcW w:w="2977" w:type="dxa"/>
            <w:tcBorders>
              <w:bottom w:val="single" w:sz="4" w:space="0" w:color="auto"/>
            </w:tcBorders>
            <w:shd w:val="clear" w:color="auto" w:fill="auto"/>
            <w:vAlign w:val="bottom"/>
          </w:tcPr>
          <w:p w14:paraId="521B47A1" w14:textId="4B836E54" w:rsidR="00734243" w:rsidRPr="00E21DBA" w:rsidRDefault="00E21DBA" w:rsidP="00133512">
            <w:pPr>
              <w:spacing w:after="80" w:line="300" w:lineRule="exact"/>
              <w:rPr>
                <w:rFonts w:ascii="Sylfaen" w:hAnsi="Sylfaen"/>
                <w:b/>
                <w:sz w:val="24"/>
                <w:szCs w:val="24"/>
                <w:lang w:val="ka-GE"/>
              </w:rPr>
            </w:pPr>
            <w:r w:rsidRPr="00E21DBA">
              <w:rPr>
                <w:rFonts w:ascii="Sylfaen" w:hAnsi="Sylfaen"/>
                <w:sz w:val="28"/>
                <w:szCs w:val="28"/>
                <w:lang w:val="ka-GE"/>
              </w:rPr>
              <w:t>გაე</w:t>
            </w:r>
            <w:r w:rsidR="00574820">
              <w:rPr>
                <w:rFonts w:ascii="Sylfaen" w:hAnsi="Sylfaen"/>
                <w:sz w:val="28"/>
                <w:szCs w:val="28"/>
                <w:lang w:val="ka-GE"/>
              </w:rPr>
              <w:t>რ</w:t>
            </w:r>
            <w:r w:rsidR="004812AE">
              <w:rPr>
                <w:rFonts w:ascii="Sylfaen" w:hAnsi="Sylfaen"/>
                <w:sz w:val="28"/>
                <w:szCs w:val="28"/>
                <w:lang w:val="ka-GE"/>
              </w:rPr>
              <w:t>თიანებული ერები</w:t>
            </w:r>
          </w:p>
        </w:tc>
        <w:tc>
          <w:tcPr>
            <w:tcW w:w="6099" w:type="dxa"/>
            <w:gridSpan w:val="2"/>
            <w:tcBorders>
              <w:bottom w:val="single" w:sz="4" w:space="0" w:color="auto"/>
            </w:tcBorders>
            <w:shd w:val="clear" w:color="auto" w:fill="auto"/>
            <w:vAlign w:val="bottom"/>
          </w:tcPr>
          <w:p w14:paraId="7B97C03B" w14:textId="77BB73FD" w:rsidR="00734243" w:rsidRPr="0023157B" w:rsidRDefault="00E21DBA" w:rsidP="00E21DBA">
            <w:pPr>
              <w:suppressAutoHyphens w:val="0"/>
              <w:spacing w:after="20"/>
              <w:ind w:left="288" w:hanging="288"/>
              <w:jc w:val="center"/>
            </w:pPr>
            <w:r>
              <w:rPr>
                <w:rFonts w:asciiTheme="minorHAnsi" w:hAnsiTheme="minorHAnsi"/>
                <w:sz w:val="40"/>
                <w:lang w:val="ka-GE"/>
              </w:rPr>
              <w:t xml:space="preserve">                              </w:t>
            </w:r>
            <w:r w:rsidR="00CE317B" w:rsidRPr="0023157B">
              <w:rPr>
                <w:sz w:val="40"/>
              </w:rPr>
              <w:t>CRPD</w:t>
            </w:r>
            <w:r w:rsidR="00CE317B" w:rsidRPr="0023157B">
              <w:t>/</w:t>
            </w:r>
            <w:r w:rsidR="00537E66" w:rsidRPr="0023157B">
              <w:t>C</w:t>
            </w:r>
            <w:r w:rsidR="00537E66" w:rsidRPr="00D82FD3">
              <w:t>/23/D</w:t>
            </w:r>
            <w:r w:rsidR="00537E66" w:rsidRPr="0023157B">
              <w:t>/45/2018</w:t>
            </w:r>
          </w:p>
        </w:tc>
      </w:tr>
      <w:tr w:rsidR="00734243" w:rsidRPr="0023157B" w14:paraId="60CF87E9" w14:textId="77777777" w:rsidTr="00E21DBA">
        <w:trPr>
          <w:cantSplit/>
          <w:trHeight w:hRule="exact" w:val="2835"/>
        </w:trPr>
        <w:tc>
          <w:tcPr>
            <w:tcW w:w="1276" w:type="dxa"/>
            <w:tcBorders>
              <w:top w:val="single" w:sz="4" w:space="0" w:color="auto"/>
              <w:bottom w:val="single" w:sz="12" w:space="0" w:color="auto"/>
            </w:tcBorders>
            <w:shd w:val="clear" w:color="auto" w:fill="auto"/>
          </w:tcPr>
          <w:p w14:paraId="7FA55F68" w14:textId="77777777" w:rsidR="00734243" w:rsidRPr="0023157B" w:rsidRDefault="00FE0787" w:rsidP="00133512">
            <w:pPr>
              <w:spacing w:before="120"/>
              <w:jc w:val="center"/>
            </w:pPr>
            <w:r w:rsidRPr="0023157B">
              <w:rPr>
                <w:noProof/>
                <w:lang w:eastAsia="en-GB"/>
              </w:rPr>
              <w:drawing>
                <wp:inline distT="0" distB="0" distL="0" distR="0" wp14:anchorId="61026344" wp14:editId="33A713AD">
                  <wp:extent cx="711200" cy="58864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8645"/>
                          </a:xfrm>
                          <a:prstGeom prst="rect">
                            <a:avLst/>
                          </a:prstGeom>
                          <a:noFill/>
                          <a:ln>
                            <a:noFill/>
                          </a:ln>
                        </pic:spPr>
                      </pic:pic>
                    </a:graphicData>
                  </a:graphic>
                </wp:inline>
              </w:drawing>
            </w:r>
          </w:p>
        </w:tc>
        <w:tc>
          <w:tcPr>
            <w:tcW w:w="6245" w:type="dxa"/>
            <w:gridSpan w:val="2"/>
            <w:tcBorders>
              <w:top w:val="single" w:sz="4" w:space="0" w:color="auto"/>
              <w:bottom w:val="single" w:sz="12" w:space="0" w:color="auto"/>
            </w:tcBorders>
            <w:shd w:val="clear" w:color="auto" w:fill="auto"/>
          </w:tcPr>
          <w:p w14:paraId="569606EF" w14:textId="28694304" w:rsidR="00734243" w:rsidRPr="00574820" w:rsidRDefault="00E21DBA" w:rsidP="0060722E">
            <w:pPr>
              <w:spacing w:before="120" w:line="380" w:lineRule="exact"/>
              <w:rPr>
                <w:rFonts w:ascii="Sylfaen" w:hAnsi="Sylfaen"/>
                <w:b/>
                <w:sz w:val="32"/>
                <w:szCs w:val="32"/>
                <w:lang w:val="ka-GE"/>
              </w:rPr>
            </w:pPr>
            <w:r w:rsidRPr="00574820">
              <w:rPr>
                <w:rFonts w:ascii="Sylfaen" w:hAnsi="Sylfaen"/>
                <w:b/>
                <w:sz w:val="32"/>
                <w:szCs w:val="32"/>
                <w:lang w:val="ka-GE"/>
              </w:rPr>
              <w:t>შეზღუდული შესაძლებლობის მქონე პირთა უფლებების კონვენცია</w:t>
            </w:r>
          </w:p>
          <w:p w14:paraId="65086D66" w14:textId="77777777" w:rsidR="008C2255" w:rsidRDefault="008C2255" w:rsidP="0060722E">
            <w:pPr>
              <w:spacing w:before="120" w:line="380" w:lineRule="exact"/>
              <w:rPr>
                <w:b/>
                <w:sz w:val="34"/>
                <w:szCs w:val="40"/>
              </w:rPr>
            </w:pPr>
          </w:p>
          <w:p w14:paraId="064A2833" w14:textId="45DDA07F" w:rsidR="008C2255" w:rsidRPr="00E21DBA" w:rsidRDefault="00574820" w:rsidP="0060722E">
            <w:pPr>
              <w:spacing w:before="120" w:line="380" w:lineRule="exact"/>
              <w:rPr>
                <w:rFonts w:ascii="Sylfaen" w:hAnsi="Sylfaen"/>
                <w:b/>
                <w:sz w:val="34"/>
                <w:szCs w:val="40"/>
                <w:lang w:val="ka-GE"/>
              </w:rPr>
            </w:pPr>
            <w:r w:rsidRPr="000A2962">
              <w:rPr>
                <w:rFonts w:ascii="Sylfaen" w:hAnsi="Sylfaen"/>
                <w:b/>
                <w:sz w:val="32"/>
                <w:szCs w:val="32"/>
                <w:lang w:val="ka-GE"/>
              </w:rPr>
              <w:t>საბოლოო</w:t>
            </w:r>
            <w:r w:rsidR="008C2255" w:rsidRPr="00574820">
              <w:rPr>
                <w:rFonts w:ascii="Sylfaen" w:hAnsi="Sylfaen"/>
                <w:b/>
                <w:sz w:val="32"/>
                <w:szCs w:val="32"/>
              </w:rPr>
              <w:t xml:space="preserve"> </w:t>
            </w:r>
            <w:r w:rsidR="00E21DBA">
              <w:rPr>
                <w:rFonts w:ascii="Sylfaen" w:hAnsi="Sylfaen"/>
                <w:b/>
                <w:sz w:val="34"/>
                <w:szCs w:val="40"/>
                <w:lang w:val="ka-GE"/>
              </w:rPr>
              <w:t>დაურედაქტირებელი ვერსია</w:t>
            </w:r>
          </w:p>
        </w:tc>
        <w:tc>
          <w:tcPr>
            <w:tcW w:w="2835" w:type="dxa"/>
            <w:tcBorders>
              <w:top w:val="single" w:sz="4" w:space="0" w:color="auto"/>
              <w:bottom w:val="single" w:sz="12" w:space="0" w:color="auto"/>
            </w:tcBorders>
            <w:shd w:val="clear" w:color="auto" w:fill="auto"/>
          </w:tcPr>
          <w:p w14:paraId="65F4D31D" w14:textId="2F68F500" w:rsidR="00CE317B" w:rsidRPr="004812AE" w:rsidRDefault="004812AE" w:rsidP="00133512">
            <w:pPr>
              <w:suppressAutoHyphens w:val="0"/>
              <w:spacing w:before="240" w:line="240" w:lineRule="exact"/>
              <w:rPr>
                <w:rFonts w:ascii="Sylfaen" w:hAnsi="Sylfaen"/>
                <w:lang w:val="ka-GE"/>
              </w:rPr>
            </w:pPr>
            <w:r>
              <w:rPr>
                <w:rFonts w:ascii="Sylfaen" w:hAnsi="Sylfaen"/>
                <w:lang w:val="ka-GE"/>
              </w:rPr>
              <w:t>გავრცელება</w:t>
            </w:r>
            <w:r w:rsidR="00CE317B" w:rsidRPr="0023157B">
              <w:t xml:space="preserve">: </w:t>
            </w:r>
            <w:r>
              <w:rPr>
                <w:rFonts w:ascii="Sylfaen" w:hAnsi="Sylfaen"/>
                <w:lang w:val="ka-GE"/>
              </w:rPr>
              <w:t>საყოველთაო</w:t>
            </w:r>
          </w:p>
          <w:p w14:paraId="7C53EE47" w14:textId="0CA018DB" w:rsidR="00CE317B" w:rsidRPr="0023157B" w:rsidRDefault="00515DE8" w:rsidP="00133512">
            <w:pPr>
              <w:suppressAutoHyphens w:val="0"/>
            </w:pPr>
            <w:r>
              <w:t xml:space="preserve">23 </w:t>
            </w:r>
            <w:r w:rsidR="004812AE">
              <w:rPr>
                <w:rFonts w:ascii="Sylfaen" w:hAnsi="Sylfaen"/>
                <w:lang w:val="ka-GE"/>
              </w:rPr>
              <w:t>სექტემბერი,</w:t>
            </w:r>
            <w:r w:rsidR="00695A6E" w:rsidRPr="0023157B">
              <w:t xml:space="preserve"> 2020</w:t>
            </w:r>
          </w:p>
          <w:p w14:paraId="3AE90577" w14:textId="77777777" w:rsidR="00CE317B" w:rsidRPr="0023157B" w:rsidRDefault="00CE317B" w:rsidP="00133512">
            <w:pPr>
              <w:suppressAutoHyphens w:val="0"/>
            </w:pPr>
          </w:p>
          <w:p w14:paraId="188380D2" w14:textId="59A47827" w:rsidR="00734243" w:rsidRPr="004812AE" w:rsidRDefault="004812AE" w:rsidP="00537E66">
            <w:pPr>
              <w:suppressAutoHyphens w:val="0"/>
              <w:rPr>
                <w:rFonts w:ascii="Sylfaen" w:hAnsi="Sylfaen"/>
                <w:lang w:val="ka-GE"/>
              </w:rPr>
            </w:pPr>
            <w:r>
              <w:rPr>
                <w:rFonts w:ascii="Sylfaen" w:hAnsi="Sylfaen"/>
                <w:lang w:val="ka-GE"/>
              </w:rPr>
              <w:t>ორიგინალი</w:t>
            </w:r>
            <w:r w:rsidR="00CE317B" w:rsidRPr="0023157B">
              <w:t xml:space="preserve">: </w:t>
            </w:r>
            <w:r>
              <w:rPr>
                <w:rFonts w:ascii="Sylfaen" w:hAnsi="Sylfaen"/>
                <w:lang w:val="ka-GE"/>
              </w:rPr>
              <w:t>ინგლისურ ენაზე</w:t>
            </w:r>
          </w:p>
          <w:p w14:paraId="07F1C2EC" w14:textId="7E800CCF" w:rsidR="00537E66" w:rsidRPr="0023157B" w:rsidRDefault="00537E66" w:rsidP="00537E66">
            <w:pPr>
              <w:suppressAutoHyphens w:val="0"/>
            </w:pPr>
          </w:p>
        </w:tc>
      </w:tr>
    </w:tbl>
    <w:p w14:paraId="149DEDFB" w14:textId="7817EA08" w:rsidR="00CE317B" w:rsidRPr="00FE223D" w:rsidRDefault="004812AE" w:rsidP="00CE317B">
      <w:pPr>
        <w:spacing w:before="120"/>
        <w:rPr>
          <w:rFonts w:ascii="Sylfaen" w:hAnsi="Sylfaen"/>
          <w:b/>
          <w:sz w:val="24"/>
          <w:szCs w:val="24"/>
          <w:lang w:val="ka-GE"/>
        </w:rPr>
      </w:pPr>
      <w:r w:rsidRPr="00FE223D">
        <w:rPr>
          <w:rFonts w:ascii="Sylfaen" w:hAnsi="Sylfaen"/>
          <w:b/>
          <w:sz w:val="24"/>
          <w:szCs w:val="24"/>
          <w:lang w:val="ka-GE"/>
        </w:rPr>
        <w:t>შეზღუდული შესაძლებლობის მქონე პირთა უფლებების კომიტეტი</w:t>
      </w:r>
    </w:p>
    <w:p w14:paraId="4ADBFE1D" w14:textId="56C20DF0" w:rsidR="00CE317B" w:rsidRPr="00FE223D" w:rsidRDefault="00CE317B" w:rsidP="00CE317B">
      <w:pPr>
        <w:rPr>
          <w:rFonts w:ascii="Sylfaen" w:hAnsi="Sylfaen"/>
          <w:b/>
        </w:rPr>
      </w:pPr>
    </w:p>
    <w:p w14:paraId="74B079B8" w14:textId="3580EA96" w:rsidR="0023157B" w:rsidRPr="00FE223D" w:rsidRDefault="00A94193" w:rsidP="00ED2FF7">
      <w:pPr>
        <w:pStyle w:val="HChG"/>
        <w:tabs>
          <w:tab w:val="clear" w:pos="851"/>
          <w:tab w:val="right" w:pos="1134"/>
        </w:tabs>
        <w:spacing w:after="0"/>
        <w:ind w:firstLine="0"/>
        <w:jc w:val="both"/>
        <w:rPr>
          <w:rFonts w:ascii="Sylfaen" w:hAnsi="Sylfaen"/>
          <w:lang w:val="ka-GE"/>
        </w:rPr>
      </w:pPr>
      <w:r w:rsidRPr="00FE223D">
        <w:rPr>
          <w:rFonts w:ascii="Sylfaen" w:hAnsi="Sylfaen"/>
          <w:lang w:val="ka-GE"/>
        </w:rPr>
        <w:t xml:space="preserve">კომიტეტის მიერ </w:t>
      </w:r>
      <w:r w:rsidR="00EB2EAA" w:rsidRPr="00FE223D">
        <w:rPr>
          <w:rFonts w:ascii="Sylfaen" w:hAnsi="Sylfaen"/>
          <w:lang w:val="ka-GE"/>
        </w:rPr>
        <w:t xml:space="preserve">ფაკულტატური ოქმის მეხუთე მუხლის თანახმად </w:t>
      </w:r>
      <w:r w:rsidRPr="00FE223D">
        <w:rPr>
          <w:rFonts w:ascii="Sylfaen" w:hAnsi="Sylfaen"/>
          <w:lang w:val="ka-GE"/>
        </w:rPr>
        <w:t>მიღებული გადაწყვეტილება</w:t>
      </w:r>
      <w:r w:rsidR="0023157B" w:rsidRPr="00FE223D">
        <w:rPr>
          <w:rFonts w:ascii="Sylfaen" w:hAnsi="Sylfaen"/>
        </w:rPr>
        <w:t xml:space="preserve">, </w:t>
      </w:r>
      <w:r w:rsidR="00537E66" w:rsidRPr="00FE223D">
        <w:rPr>
          <w:rFonts w:ascii="Sylfaen" w:hAnsi="Sylfaen"/>
        </w:rPr>
        <w:t>No. 45/2018</w:t>
      </w:r>
      <w:r w:rsidR="0023157B" w:rsidRPr="00FE223D">
        <w:rPr>
          <w:rFonts w:ascii="Sylfaen" w:hAnsi="Sylfaen"/>
          <w:bCs/>
        </w:rPr>
        <w:footnoteReference w:customMarkFollows="1" w:id="2"/>
        <w:t>*</w:t>
      </w:r>
      <w:r w:rsidR="00D82FD3" w:rsidRPr="00FE223D">
        <w:rPr>
          <w:rFonts w:ascii="Sylfaen" w:hAnsi="Sylfaen"/>
          <w:sz w:val="24"/>
          <w:szCs w:val="24"/>
          <w:lang w:eastAsia="en-GB"/>
        </w:rPr>
        <w:t>’**</w:t>
      </w:r>
      <w:r w:rsidRPr="00FE223D">
        <w:rPr>
          <w:rFonts w:ascii="Sylfaen" w:hAnsi="Sylfaen"/>
          <w:sz w:val="24"/>
          <w:szCs w:val="24"/>
          <w:lang w:val="ka-GE" w:eastAsia="en-GB"/>
        </w:rPr>
        <w:t xml:space="preserve"> </w:t>
      </w:r>
      <w:r w:rsidRPr="00FE223D">
        <w:rPr>
          <w:rFonts w:ascii="Sylfaen" w:hAnsi="Sylfaen"/>
          <w:szCs w:val="28"/>
          <w:lang w:val="ka-GE" w:eastAsia="en-GB"/>
        </w:rPr>
        <w:t>შეტყობინების შესახებ</w:t>
      </w:r>
    </w:p>
    <w:p w14:paraId="313A8A38" w14:textId="1CDFEB96" w:rsidR="00CE317B" w:rsidRPr="00FE223D" w:rsidRDefault="00CE317B" w:rsidP="008C2255">
      <w:pPr>
        <w:pStyle w:val="H1G"/>
        <w:spacing w:after="0"/>
        <w:rPr>
          <w:rFonts w:ascii="Sylfaen" w:hAnsi="Sylfaen"/>
        </w:rPr>
      </w:pPr>
      <w:r w:rsidRPr="00FE223D">
        <w:rPr>
          <w:rFonts w:ascii="Sylfaen" w:hAnsi="Sylfaen"/>
        </w:rPr>
        <w:tab/>
      </w:r>
      <w:r w:rsidRPr="00FE223D">
        <w:rPr>
          <w:rFonts w:ascii="Sylfaen" w:hAnsi="Sylfaen"/>
        </w:rPr>
        <w:tab/>
      </w:r>
    </w:p>
    <w:p w14:paraId="2DD56248" w14:textId="4F2E3A6A" w:rsidR="009C618D" w:rsidRPr="00FE223D" w:rsidRDefault="00A94193" w:rsidP="00ED2FF7">
      <w:pPr>
        <w:tabs>
          <w:tab w:val="left" w:pos="4820"/>
        </w:tabs>
        <w:spacing w:after="120"/>
        <w:ind w:left="4536" w:right="1134" w:hanging="3402"/>
        <w:jc w:val="both"/>
        <w:rPr>
          <w:rFonts w:ascii="Sylfaen" w:eastAsia="SimSun" w:hAnsi="Sylfaen"/>
          <w:iCs/>
          <w:lang w:eastAsia="zh-CN"/>
        </w:rPr>
      </w:pPr>
      <w:r w:rsidRPr="00FE223D">
        <w:rPr>
          <w:rFonts w:ascii="Sylfaen" w:eastAsia="SimSun" w:hAnsi="Sylfaen"/>
          <w:i/>
          <w:lang w:val="ka-GE" w:eastAsia="zh-CN"/>
        </w:rPr>
        <w:t>შეტყობინების წარმდგენი</w:t>
      </w:r>
      <w:r w:rsidR="009C618D" w:rsidRPr="00FE223D">
        <w:rPr>
          <w:rFonts w:ascii="Sylfaen" w:eastAsia="SimSun" w:hAnsi="Sylfaen"/>
          <w:i/>
          <w:lang w:eastAsia="zh-CN"/>
        </w:rPr>
        <w:t>:</w:t>
      </w:r>
      <w:r w:rsidR="009C618D" w:rsidRPr="00FE223D">
        <w:rPr>
          <w:rFonts w:ascii="Sylfaen" w:eastAsia="SimSun" w:hAnsi="Sylfaen"/>
          <w:i/>
          <w:lang w:eastAsia="zh-CN"/>
        </w:rPr>
        <w:tab/>
      </w:r>
      <w:r w:rsidRPr="00FE223D">
        <w:rPr>
          <w:rFonts w:ascii="Sylfaen" w:eastAsia="SimSun" w:hAnsi="Sylfaen"/>
          <w:iCs/>
          <w:lang w:val="ka-GE" w:eastAsia="zh-CN"/>
        </w:rPr>
        <w:t>რიჩარდ სალინი (წარმოდგენილი</w:t>
      </w:r>
      <w:r w:rsidR="00DC4303" w:rsidRPr="00FE223D">
        <w:rPr>
          <w:rFonts w:ascii="Sylfaen" w:eastAsia="SimSun" w:hAnsi="Sylfaen"/>
          <w:iCs/>
          <w:lang w:val="ka-GE" w:eastAsia="zh-CN"/>
        </w:rPr>
        <w:t>ა „შვედეთის სმენის არმქონეთა ასოციაციის“, „შვედეთის სმენის არმქონე ახალგაზრდების ასოციაციის“ და არასამთავრობო ორგანიზაციის „</w:t>
      </w:r>
      <w:r w:rsidR="00DC4303" w:rsidRPr="00FE223D">
        <w:rPr>
          <w:rFonts w:ascii="Sylfaen" w:eastAsia="SimSun" w:hAnsi="Sylfaen"/>
          <w:iCs/>
          <w:lang w:eastAsia="zh-CN"/>
        </w:rPr>
        <w:t>Med Lagen som verktyg</w:t>
      </w:r>
      <w:r w:rsidR="00DC4303" w:rsidRPr="00FE223D">
        <w:rPr>
          <w:rFonts w:ascii="Sylfaen" w:eastAsia="SimSun" w:hAnsi="Sylfaen"/>
          <w:lang w:val="ka-GE" w:eastAsia="zh-CN"/>
        </w:rPr>
        <w:t>“ მიერ</w:t>
      </w:r>
      <w:r w:rsidR="007D7236" w:rsidRPr="00FE223D">
        <w:rPr>
          <w:rFonts w:ascii="Sylfaen" w:eastAsia="SimSun" w:hAnsi="Sylfaen"/>
          <w:lang w:val="ka-GE" w:eastAsia="zh-CN"/>
        </w:rPr>
        <w:t>)</w:t>
      </w:r>
    </w:p>
    <w:p w14:paraId="6E28391F" w14:textId="1C87CA16" w:rsidR="009C618D" w:rsidRPr="00FE223D" w:rsidRDefault="00EB2EAA" w:rsidP="00ED2FF7">
      <w:pPr>
        <w:tabs>
          <w:tab w:val="left" w:pos="4820"/>
        </w:tabs>
        <w:spacing w:after="120"/>
        <w:ind w:left="4536" w:right="1134" w:hanging="3402"/>
        <w:rPr>
          <w:rFonts w:ascii="Sylfaen" w:eastAsia="SimSun" w:hAnsi="Sylfaen"/>
          <w:iCs/>
          <w:lang w:val="ka-GE" w:eastAsia="zh-CN"/>
        </w:rPr>
      </w:pPr>
      <w:r w:rsidRPr="00FE223D">
        <w:rPr>
          <w:rFonts w:ascii="Sylfaen" w:eastAsia="SimSun" w:hAnsi="Sylfaen"/>
          <w:i/>
          <w:lang w:val="ka-GE" w:eastAsia="zh-CN"/>
        </w:rPr>
        <w:t>სავარაუდო დაზარალებული</w:t>
      </w:r>
      <w:r w:rsidR="009C618D" w:rsidRPr="00FE223D">
        <w:rPr>
          <w:rFonts w:ascii="Sylfaen" w:eastAsia="SimSun" w:hAnsi="Sylfaen"/>
          <w:i/>
          <w:lang w:eastAsia="zh-CN"/>
        </w:rPr>
        <w:t>:</w:t>
      </w:r>
      <w:r w:rsidR="009C618D" w:rsidRPr="00FE223D">
        <w:rPr>
          <w:rFonts w:ascii="Sylfaen" w:eastAsia="SimSun" w:hAnsi="Sylfaen"/>
          <w:i/>
          <w:lang w:eastAsia="zh-CN"/>
        </w:rPr>
        <w:tab/>
      </w:r>
      <w:r w:rsidRPr="00FE223D">
        <w:rPr>
          <w:rFonts w:ascii="Sylfaen" w:eastAsia="SimSun" w:hAnsi="Sylfaen"/>
          <w:iCs/>
          <w:lang w:val="ka-GE" w:eastAsia="zh-CN"/>
        </w:rPr>
        <w:t xml:space="preserve">შეტყობინების </w:t>
      </w:r>
      <w:r w:rsidR="00574820" w:rsidRPr="00FE223D">
        <w:rPr>
          <w:rFonts w:ascii="Sylfaen" w:eastAsia="SimSun" w:hAnsi="Sylfaen"/>
          <w:iCs/>
          <w:lang w:val="ka-GE" w:eastAsia="zh-CN"/>
        </w:rPr>
        <w:t>ავტორი</w:t>
      </w:r>
    </w:p>
    <w:p w14:paraId="182459B8" w14:textId="4CC74D4F" w:rsidR="009C618D" w:rsidRPr="00FE223D" w:rsidRDefault="00EB2EAA" w:rsidP="00ED2FF7">
      <w:pPr>
        <w:tabs>
          <w:tab w:val="left" w:pos="4820"/>
        </w:tabs>
        <w:spacing w:after="120"/>
        <w:ind w:left="4536" w:right="1134" w:hanging="3402"/>
        <w:rPr>
          <w:rFonts w:ascii="Sylfaen" w:eastAsia="SimSun" w:hAnsi="Sylfaen"/>
          <w:iCs/>
          <w:lang w:val="ka-GE" w:eastAsia="zh-CN"/>
        </w:rPr>
      </w:pPr>
      <w:r w:rsidRPr="00FE223D">
        <w:rPr>
          <w:rFonts w:ascii="Sylfaen" w:eastAsia="SimSun" w:hAnsi="Sylfaen"/>
          <w:i/>
          <w:lang w:val="ka-GE" w:eastAsia="zh-CN"/>
        </w:rPr>
        <w:t>სახელმწიფო მხარე</w:t>
      </w:r>
      <w:r w:rsidR="009C618D" w:rsidRPr="00FE223D">
        <w:rPr>
          <w:rFonts w:ascii="Sylfaen" w:eastAsia="SimSun" w:hAnsi="Sylfaen"/>
          <w:i/>
          <w:lang w:eastAsia="zh-CN"/>
        </w:rPr>
        <w:t>:</w:t>
      </w:r>
      <w:r w:rsidR="009C618D" w:rsidRPr="00FE223D">
        <w:rPr>
          <w:rFonts w:ascii="Sylfaen" w:eastAsia="SimSun" w:hAnsi="Sylfaen"/>
          <w:i/>
          <w:lang w:eastAsia="zh-CN"/>
        </w:rPr>
        <w:tab/>
      </w:r>
      <w:r w:rsidR="00574820" w:rsidRPr="00FE223D">
        <w:rPr>
          <w:rFonts w:ascii="Sylfaen" w:eastAsia="SimSun" w:hAnsi="Sylfaen"/>
          <w:iCs/>
          <w:lang w:val="ka-GE" w:eastAsia="zh-CN"/>
        </w:rPr>
        <w:t>შვედეთი</w:t>
      </w:r>
    </w:p>
    <w:p w14:paraId="45929A45" w14:textId="56BDBBA6" w:rsidR="009C618D" w:rsidRPr="00FE223D" w:rsidRDefault="00EB2EAA" w:rsidP="00ED2FF7">
      <w:pPr>
        <w:tabs>
          <w:tab w:val="left" w:pos="4820"/>
        </w:tabs>
        <w:spacing w:after="120"/>
        <w:ind w:left="4536" w:right="1134" w:hanging="3402"/>
        <w:rPr>
          <w:rFonts w:ascii="Sylfaen" w:eastAsia="SimSun" w:hAnsi="Sylfaen"/>
          <w:iCs/>
          <w:lang w:eastAsia="zh-CN"/>
        </w:rPr>
      </w:pPr>
      <w:r w:rsidRPr="00FE223D">
        <w:rPr>
          <w:rFonts w:ascii="Sylfaen" w:eastAsia="SimSun" w:hAnsi="Sylfaen"/>
          <w:i/>
          <w:lang w:val="ka-GE" w:eastAsia="zh-CN"/>
        </w:rPr>
        <w:t>შეტყობინების წარდგენის თარიღი</w:t>
      </w:r>
      <w:r w:rsidR="009C618D" w:rsidRPr="00FE223D">
        <w:rPr>
          <w:rFonts w:ascii="Sylfaen" w:eastAsia="SimSun" w:hAnsi="Sylfaen"/>
          <w:i/>
          <w:lang w:eastAsia="zh-CN"/>
        </w:rPr>
        <w:t>:</w:t>
      </w:r>
      <w:r w:rsidR="009C618D" w:rsidRPr="00FE223D">
        <w:rPr>
          <w:rFonts w:ascii="Sylfaen" w:eastAsia="SimSun" w:hAnsi="Sylfaen"/>
          <w:i/>
          <w:lang w:eastAsia="zh-CN"/>
        </w:rPr>
        <w:tab/>
      </w:r>
      <w:r w:rsidR="009C618D" w:rsidRPr="00FE223D">
        <w:rPr>
          <w:rFonts w:ascii="Sylfaen" w:eastAsia="SimSun" w:hAnsi="Sylfaen"/>
          <w:iCs/>
          <w:lang w:eastAsia="zh-CN"/>
        </w:rPr>
        <w:t xml:space="preserve">23 </w:t>
      </w:r>
      <w:r w:rsidR="00574820" w:rsidRPr="00FE223D">
        <w:rPr>
          <w:rFonts w:ascii="Sylfaen" w:eastAsia="SimSun" w:hAnsi="Sylfaen"/>
          <w:iCs/>
          <w:lang w:val="ka-GE" w:eastAsia="zh-CN"/>
        </w:rPr>
        <w:t>იანვარი</w:t>
      </w:r>
      <w:r w:rsidRPr="00FE223D">
        <w:rPr>
          <w:rFonts w:ascii="Sylfaen" w:eastAsia="SimSun" w:hAnsi="Sylfaen"/>
          <w:iCs/>
          <w:lang w:val="ka-GE" w:eastAsia="zh-CN"/>
        </w:rPr>
        <w:t>,</w:t>
      </w:r>
      <w:r w:rsidR="009C618D" w:rsidRPr="00FE223D">
        <w:rPr>
          <w:rFonts w:ascii="Sylfaen" w:eastAsia="SimSun" w:hAnsi="Sylfaen"/>
          <w:iCs/>
          <w:lang w:eastAsia="zh-CN"/>
        </w:rPr>
        <w:t xml:space="preserve"> 2018 (</w:t>
      </w:r>
      <w:r w:rsidRPr="00FE223D">
        <w:rPr>
          <w:rFonts w:ascii="Sylfaen" w:eastAsia="SimSun" w:hAnsi="Sylfaen"/>
          <w:iCs/>
          <w:lang w:val="ka-GE" w:eastAsia="zh-CN"/>
        </w:rPr>
        <w:t>თავდაპირველი წარდგენა</w:t>
      </w:r>
      <w:r w:rsidR="009C618D" w:rsidRPr="00FE223D">
        <w:rPr>
          <w:rFonts w:ascii="Sylfaen" w:eastAsia="SimSun" w:hAnsi="Sylfaen"/>
          <w:iCs/>
          <w:lang w:eastAsia="zh-CN"/>
        </w:rPr>
        <w:t>)</w:t>
      </w:r>
    </w:p>
    <w:p w14:paraId="24352C46" w14:textId="6DBEC257" w:rsidR="009C618D" w:rsidRPr="00FE223D" w:rsidRDefault="00EB2EAA" w:rsidP="00ED2FF7">
      <w:pPr>
        <w:tabs>
          <w:tab w:val="left" w:pos="4820"/>
        </w:tabs>
        <w:spacing w:after="120"/>
        <w:ind w:left="4536" w:right="1134" w:hanging="3402"/>
        <w:jc w:val="both"/>
        <w:rPr>
          <w:rFonts w:ascii="Sylfaen" w:eastAsia="SimSun" w:hAnsi="Sylfaen"/>
          <w:iCs/>
          <w:lang w:val="ka-GE" w:eastAsia="zh-CN"/>
        </w:rPr>
      </w:pPr>
      <w:r w:rsidRPr="00FE223D">
        <w:rPr>
          <w:rFonts w:ascii="Sylfaen" w:eastAsia="SimSun" w:hAnsi="Sylfaen"/>
          <w:i/>
          <w:lang w:val="ka-GE" w:eastAsia="zh-CN"/>
        </w:rPr>
        <w:t>გამოყენებული დოკუმენტები</w:t>
      </w:r>
      <w:r w:rsidR="009C618D" w:rsidRPr="00FE223D">
        <w:rPr>
          <w:rFonts w:ascii="Sylfaen" w:eastAsia="SimSun" w:hAnsi="Sylfaen"/>
          <w:i/>
          <w:lang w:eastAsia="zh-CN"/>
        </w:rPr>
        <w:t>:</w:t>
      </w:r>
      <w:r w:rsidR="009C618D" w:rsidRPr="00FE223D">
        <w:rPr>
          <w:rFonts w:ascii="Sylfaen" w:eastAsia="SimSun" w:hAnsi="Sylfaen"/>
          <w:i/>
          <w:lang w:eastAsia="zh-CN"/>
        </w:rPr>
        <w:tab/>
      </w:r>
      <w:r w:rsidRPr="00FE223D">
        <w:rPr>
          <w:rFonts w:ascii="Sylfaen" w:eastAsia="SimSun" w:hAnsi="Sylfaen"/>
          <w:iCs/>
          <w:lang w:val="ka-GE" w:eastAsia="zh-CN"/>
        </w:rPr>
        <w:t xml:space="preserve">სპეციალური მომხსენებლის მიერ </w:t>
      </w:r>
      <w:r w:rsidR="00D57746" w:rsidRPr="00FE223D">
        <w:rPr>
          <w:rFonts w:ascii="Sylfaen" w:eastAsia="SimSun" w:hAnsi="Sylfaen"/>
          <w:iCs/>
          <w:lang w:val="ka-GE" w:eastAsia="zh-CN"/>
        </w:rPr>
        <w:t>70-ე წესის შესაბამისად მიღებული გადაწყვეტილება, რომელიც სახელმწიფოს გაეგზავნა 2018 წლის 27 თებერვალს</w:t>
      </w:r>
      <w:r w:rsidR="009C618D" w:rsidRPr="00FE223D">
        <w:rPr>
          <w:rFonts w:ascii="Sylfaen" w:eastAsia="SimSun" w:hAnsi="Sylfaen"/>
          <w:iCs/>
          <w:lang w:eastAsia="zh-CN"/>
        </w:rPr>
        <w:t xml:space="preserve"> (</w:t>
      </w:r>
      <w:r w:rsidR="00D57746" w:rsidRPr="00FE223D">
        <w:rPr>
          <w:rFonts w:ascii="Sylfaen" w:eastAsia="SimSun" w:hAnsi="Sylfaen"/>
          <w:iCs/>
          <w:lang w:val="ka-GE" w:eastAsia="zh-CN"/>
        </w:rPr>
        <w:t>არ გამოცემულა დოკუმენტის სახით)</w:t>
      </w:r>
    </w:p>
    <w:p w14:paraId="26F03FCA" w14:textId="2618BADC" w:rsidR="009C618D" w:rsidRPr="00FE223D" w:rsidRDefault="00D57746" w:rsidP="00ED2FF7">
      <w:pPr>
        <w:tabs>
          <w:tab w:val="left" w:pos="4820"/>
        </w:tabs>
        <w:spacing w:after="120"/>
        <w:ind w:left="4536" w:right="1134" w:hanging="3402"/>
        <w:rPr>
          <w:rFonts w:ascii="Sylfaen" w:eastAsia="SimSun" w:hAnsi="Sylfaen"/>
          <w:iCs/>
          <w:lang w:eastAsia="zh-CN"/>
        </w:rPr>
      </w:pPr>
      <w:r w:rsidRPr="00FE223D">
        <w:rPr>
          <w:rFonts w:ascii="Sylfaen" w:eastAsia="SimSun" w:hAnsi="Sylfaen"/>
          <w:i/>
          <w:lang w:val="ka-GE" w:eastAsia="zh-CN"/>
        </w:rPr>
        <w:t>გადაწყვეტილების მიღების თარიღი</w:t>
      </w:r>
      <w:r w:rsidR="009C618D" w:rsidRPr="00FE223D">
        <w:rPr>
          <w:rFonts w:ascii="Sylfaen" w:eastAsia="SimSun" w:hAnsi="Sylfaen"/>
          <w:i/>
          <w:lang w:eastAsia="zh-CN"/>
        </w:rPr>
        <w:t>:</w:t>
      </w:r>
      <w:r w:rsidR="009C618D" w:rsidRPr="00FE223D">
        <w:rPr>
          <w:rFonts w:ascii="Sylfaen" w:eastAsia="SimSun" w:hAnsi="Sylfaen"/>
          <w:i/>
          <w:lang w:eastAsia="zh-CN"/>
        </w:rPr>
        <w:tab/>
      </w:r>
      <w:r w:rsidR="0023157B" w:rsidRPr="00FE223D">
        <w:rPr>
          <w:rFonts w:ascii="Sylfaen" w:eastAsia="SimSun" w:hAnsi="Sylfaen"/>
          <w:iCs/>
          <w:lang w:eastAsia="zh-CN"/>
        </w:rPr>
        <w:t xml:space="preserve">21 </w:t>
      </w:r>
      <w:r w:rsidRPr="00FE223D">
        <w:rPr>
          <w:rFonts w:ascii="Sylfaen" w:eastAsia="SimSun" w:hAnsi="Sylfaen"/>
          <w:iCs/>
          <w:lang w:val="ka-GE" w:eastAsia="zh-CN"/>
        </w:rPr>
        <w:t xml:space="preserve">აგვისტო, </w:t>
      </w:r>
      <w:r w:rsidR="009C618D" w:rsidRPr="00FE223D">
        <w:rPr>
          <w:rFonts w:ascii="Sylfaen" w:eastAsia="SimSun" w:hAnsi="Sylfaen"/>
          <w:iCs/>
          <w:lang w:eastAsia="zh-CN"/>
        </w:rPr>
        <w:t>2020</w:t>
      </w:r>
    </w:p>
    <w:p w14:paraId="69CBF15C" w14:textId="14CAAAF3" w:rsidR="009C618D" w:rsidRPr="00FE223D" w:rsidRDefault="00D57746" w:rsidP="00ED2FF7">
      <w:pPr>
        <w:tabs>
          <w:tab w:val="left" w:pos="4820"/>
        </w:tabs>
        <w:spacing w:after="120"/>
        <w:ind w:left="4536" w:right="1134" w:hanging="3402"/>
        <w:jc w:val="both"/>
        <w:rPr>
          <w:rFonts w:ascii="Sylfaen" w:eastAsia="SimSun" w:hAnsi="Sylfaen"/>
          <w:iCs/>
          <w:lang w:eastAsia="zh-CN"/>
        </w:rPr>
      </w:pPr>
      <w:r w:rsidRPr="00FE223D">
        <w:rPr>
          <w:rFonts w:ascii="Sylfaen" w:eastAsia="SimSun" w:hAnsi="Sylfaen"/>
          <w:i/>
          <w:lang w:val="ka-GE" w:eastAsia="zh-CN"/>
        </w:rPr>
        <w:t>შეტყობინების თემა</w:t>
      </w:r>
      <w:r w:rsidR="009C618D" w:rsidRPr="00FE223D">
        <w:rPr>
          <w:rFonts w:ascii="Sylfaen" w:eastAsia="SimSun" w:hAnsi="Sylfaen"/>
          <w:i/>
          <w:lang w:eastAsia="zh-CN"/>
        </w:rPr>
        <w:t xml:space="preserve">: </w:t>
      </w:r>
      <w:r w:rsidR="009C618D" w:rsidRPr="00FE223D">
        <w:rPr>
          <w:rFonts w:ascii="Sylfaen" w:eastAsia="SimSun" w:hAnsi="Sylfaen"/>
          <w:i/>
          <w:lang w:eastAsia="zh-CN"/>
        </w:rPr>
        <w:tab/>
      </w:r>
      <w:r w:rsidRPr="00FE223D">
        <w:rPr>
          <w:rFonts w:ascii="Sylfaen" w:eastAsia="SimSun" w:hAnsi="Sylfaen"/>
          <w:iCs/>
          <w:lang w:val="ka-GE" w:eastAsia="zh-CN"/>
        </w:rPr>
        <w:t>სამუშაოზე მიღების პროცესი და შესაბამისი ცვლილებებისა და შესწორებების შეტანა დასაქმების ადგილზე</w:t>
      </w:r>
    </w:p>
    <w:p w14:paraId="4FF7537A" w14:textId="41072EA9" w:rsidR="009C618D" w:rsidRPr="00FE223D" w:rsidRDefault="00D57746" w:rsidP="00ED2FF7">
      <w:pPr>
        <w:tabs>
          <w:tab w:val="left" w:pos="4820"/>
        </w:tabs>
        <w:spacing w:after="120"/>
        <w:ind w:left="4536" w:right="1134" w:hanging="3402"/>
        <w:jc w:val="both"/>
        <w:rPr>
          <w:rFonts w:ascii="Sylfaen" w:eastAsia="SimSun" w:hAnsi="Sylfaen"/>
          <w:iCs/>
          <w:lang w:val="ka-GE" w:eastAsia="zh-CN"/>
        </w:rPr>
      </w:pPr>
      <w:r w:rsidRPr="00FE223D">
        <w:rPr>
          <w:rFonts w:ascii="Sylfaen" w:eastAsia="SimSun" w:hAnsi="Sylfaen"/>
          <w:i/>
          <w:lang w:val="ka-GE" w:eastAsia="zh-CN"/>
        </w:rPr>
        <w:t>პროცედურული საკითხები</w:t>
      </w:r>
      <w:r w:rsidR="009C618D" w:rsidRPr="00FE223D">
        <w:rPr>
          <w:rFonts w:ascii="Sylfaen" w:eastAsia="SimSun" w:hAnsi="Sylfaen"/>
          <w:i/>
          <w:lang w:eastAsia="zh-CN"/>
        </w:rPr>
        <w:t xml:space="preserve">: </w:t>
      </w:r>
      <w:r w:rsidR="009C618D" w:rsidRPr="00FE223D">
        <w:rPr>
          <w:rFonts w:ascii="Sylfaen" w:eastAsia="SimSun" w:hAnsi="Sylfaen"/>
          <w:i/>
          <w:lang w:eastAsia="zh-CN"/>
        </w:rPr>
        <w:tab/>
      </w:r>
      <w:r w:rsidR="00913B5B" w:rsidRPr="00FE223D">
        <w:rPr>
          <w:rFonts w:ascii="Sylfaen" w:eastAsia="SimSun" w:hAnsi="Sylfaen"/>
          <w:iCs/>
          <w:lang w:val="ka-GE" w:eastAsia="zh-CN"/>
        </w:rPr>
        <w:t xml:space="preserve">ადგილობრივი სამართლებრივი დაცვის საშუალებების ამოწურვა; </w:t>
      </w:r>
      <w:r w:rsidR="000743DA" w:rsidRPr="00FE223D">
        <w:rPr>
          <w:rFonts w:ascii="Sylfaen" w:eastAsia="SimSun" w:hAnsi="Sylfaen"/>
          <w:lang w:val="ka-GE" w:eastAsia="zh-CN"/>
        </w:rPr>
        <w:t>საჩივრის</w:t>
      </w:r>
      <w:r w:rsidR="00586285" w:rsidRPr="00FE223D">
        <w:rPr>
          <w:rFonts w:ascii="Sylfaen" w:eastAsia="SimSun" w:hAnsi="Sylfaen"/>
          <w:lang w:val="ka-GE" w:eastAsia="zh-CN"/>
        </w:rPr>
        <w:t xml:space="preserve"> </w:t>
      </w:r>
      <w:r w:rsidR="00913B5B" w:rsidRPr="00FE223D">
        <w:rPr>
          <w:rFonts w:ascii="Sylfaen" w:eastAsia="SimSun" w:hAnsi="Sylfaen"/>
          <w:lang w:val="ka-GE" w:eastAsia="zh-CN"/>
        </w:rPr>
        <w:t>საფუძვლიანობა</w:t>
      </w:r>
    </w:p>
    <w:p w14:paraId="5E4A4F3A" w14:textId="52CC82E3" w:rsidR="009C618D" w:rsidRPr="00FE223D" w:rsidRDefault="00913B5B" w:rsidP="00ED2FF7">
      <w:pPr>
        <w:tabs>
          <w:tab w:val="left" w:pos="4536"/>
        </w:tabs>
        <w:spacing w:after="120"/>
        <w:ind w:left="4536" w:right="1134" w:hanging="3402"/>
        <w:jc w:val="both"/>
        <w:rPr>
          <w:rFonts w:ascii="Sylfaen" w:eastAsia="SimSun" w:hAnsi="Sylfaen"/>
          <w:iCs/>
          <w:lang w:eastAsia="zh-CN"/>
        </w:rPr>
      </w:pPr>
      <w:r w:rsidRPr="00FE223D">
        <w:rPr>
          <w:rFonts w:ascii="Sylfaen" w:eastAsia="SimSun" w:hAnsi="Sylfaen"/>
          <w:i/>
          <w:lang w:val="ka-GE" w:eastAsia="zh-CN"/>
        </w:rPr>
        <w:t>არსებითი საკითხები</w:t>
      </w:r>
      <w:r w:rsidR="009C618D" w:rsidRPr="00FE223D">
        <w:rPr>
          <w:rFonts w:ascii="Sylfaen" w:eastAsia="SimSun" w:hAnsi="Sylfaen"/>
          <w:i/>
          <w:lang w:eastAsia="zh-CN"/>
        </w:rPr>
        <w:t>:</w:t>
      </w:r>
      <w:r w:rsidR="009C618D" w:rsidRPr="00FE223D">
        <w:rPr>
          <w:rFonts w:ascii="Sylfaen" w:eastAsia="SimSun" w:hAnsi="Sylfaen"/>
          <w:i/>
          <w:lang w:eastAsia="zh-CN"/>
        </w:rPr>
        <w:tab/>
      </w:r>
      <w:r w:rsidRPr="00FE223D">
        <w:rPr>
          <w:rFonts w:ascii="Sylfaen" w:eastAsia="SimSun" w:hAnsi="Sylfaen"/>
          <w:iCs/>
          <w:lang w:val="ka-GE" w:eastAsia="zh-CN"/>
        </w:rPr>
        <w:t xml:space="preserve">თანასწორობა და დისკრიმინაციის აკრძალვა; კანონის წინაშე თანასწორობა; </w:t>
      </w:r>
      <w:r w:rsidRPr="00FE223D">
        <w:rPr>
          <w:rFonts w:ascii="Sylfaen" w:eastAsia="SimSun" w:hAnsi="Sylfaen"/>
          <w:lang w:val="ka-GE" w:eastAsia="zh-CN"/>
        </w:rPr>
        <w:t>შრომა და დასაქმება; ფაქტები და მტკიცებულებები</w:t>
      </w:r>
    </w:p>
    <w:p w14:paraId="63CE5117" w14:textId="68579B71" w:rsidR="00734243" w:rsidRPr="00FE223D" w:rsidRDefault="00913B5B" w:rsidP="00ED2FF7">
      <w:pPr>
        <w:tabs>
          <w:tab w:val="left" w:pos="4536"/>
        </w:tabs>
        <w:spacing w:after="120"/>
        <w:ind w:left="4536" w:right="1134" w:hanging="3402"/>
        <w:jc w:val="both"/>
        <w:rPr>
          <w:rFonts w:ascii="Sylfaen" w:eastAsia="SimSun" w:hAnsi="Sylfaen"/>
          <w:lang w:val="en-US"/>
        </w:rPr>
      </w:pPr>
      <w:r w:rsidRPr="00FE223D">
        <w:rPr>
          <w:rFonts w:ascii="Sylfaen" w:eastAsia="SimSun" w:hAnsi="Sylfaen"/>
          <w:i/>
          <w:lang w:val="ka-GE"/>
        </w:rPr>
        <w:lastRenderedPageBreak/>
        <w:t>კონვენციის მუხლები</w:t>
      </w:r>
      <w:r w:rsidR="009C618D" w:rsidRPr="00FE223D">
        <w:rPr>
          <w:rFonts w:ascii="Sylfaen" w:eastAsia="SimSun" w:hAnsi="Sylfaen"/>
          <w:i/>
        </w:rPr>
        <w:t>:</w:t>
      </w:r>
      <w:r w:rsidR="009C618D" w:rsidRPr="00FE223D">
        <w:rPr>
          <w:rFonts w:ascii="Sylfaen" w:eastAsia="SimSun" w:hAnsi="Sylfaen"/>
          <w:i/>
        </w:rPr>
        <w:tab/>
      </w:r>
      <w:r w:rsidR="009C618D" w:rsidRPr="00FE223D">
        <w:rPr>
          <w:rFonts w:ascii="Sylfaen" w:eastAsia="SimSun" w:hAnsi="Sylfaen"/>
          <w:lang w:val="en-US"/>
        </w:rPr>
        <w:t>27 (1) (</w:t>
      </w:r>
      <w:r w:rsidRPr="00FE223D">
        <w:rPr>
          <w:rFonts w:ascii="Sylfaen" w:eastAsia="SimSun" w:hAnsi="Sylfaen"/>
          <w:lang w:val="en-US"/>
        </w:rPr>
        <w:t>b</w:t>
      </w:r>
      <w:r w:rsidR="009C618D" w:rsidRPr="00FE223D">
        <w:rPr>
          <w:rFonts w:ascii="Sylfaen" w:eastAsia="SimSun" w:hAnsi="Sylfaen"/>
          <w:lang w:val="en-US"/>
        </w:rPr>
        <w:t xml:space="preserve">) (g) </w:t>
      </w:r>
      <w:r w:rsidRPr="00FE223D">
        <w:rPr>
          <w:rFonts w:ascii="Sylfaen" w:eastAsia="SimSun" w:hAnsi="Sylfaen"/>
          <w:lang w:val="ka-GE"/>
        </w:rPr>
        <w:t>და</w:t>
      </w:r>
      <w:r w:rsidR="009C618D" w:rsidRPr="00FE223D">
        <w:rPr>
          <w:rFonts w:ascii="Sylfaen" w:eastAsia="SimSun" w:hAnsi="Sylfaen"/>
          <w:lang w:val="en-US"/>
        </w:rPr>
        <w:t xml:space="preserve"> (i), 5 (2-3), 3 </w:t>
      </w:r>
      <w:r w:rsidRPr="00FE223D">
        <w:rPr>
          <w:rFonts w:ascii="Sylfaen" w:eastAsia="SimSun" w:hAnsi="Sylfaen"/>
          <w:lang w:val="ka-GE"/>
        </w:rPr>
        <w:t>და</w:t>
      </w:r>
      <w:r w:rsidR="009C618D" w:rsidRPr="00FE223D">
        <w:rPr>
          <w:rFonts w:ascii="Sylfaen" w:eastAsia="SimSun" w:hAnsi="Sylfaen"/>
          <w:lang w:val="en-US"/>
        </w:rPr>
        <w:t xml:space="preserve"> 4 (2)</w:t>
      </w:r>
    </w:p>
    <w:p w14:paraId="1C0DFE55" w14:textId="5860603B" w:rsidR="003C0C75" w:rsidRPr="00FE223D" w:rsidRDefault="00913B5B" w:rsidP="00ED2FF7">
      <w:pPr>
        <w:tabs>
          <w:tab w:val="left" w:pos="4536"/>
        </w:tabs>
        <w:spacing w:after="120"/>
        <w:ind w:left="4536" w:right="1134" w:hanging="3402"/>
        <w:jc w:val="both"/>
        <w:rPr>
          <w:rFonts w:ascii="Sylfaen" w:hAnsi="Sylfaen"/>
          <w:iCs/>
        </w:rPr>
      </w:pPr>
      <w:r w:rsidRPr="00FE223D">
        <w:rPr>
          <w:rFonts w:ascii="Sylfaen" w:hAnsi="Sylfaen"/>
          <w:i/>
          <w:lang w:val="ka-GE"/>
        </w:rPr>
        <w:t xml:space="preserve">ფაკულტატური ოქმის მუხლი: </w:t>
      </w:r>
      <w:r w:rsidR="00F0037F" w:rsidRPr="00FE223D">
        <w:rPr>
          <w:rFonts w:ascii="Sylfaen" w:hAnsi="Sylfaen"/>
          <w:i/>
        </w:rPr>
        <w:tab/>
      </w:r>
      <w:r w:rsidR="00F0037F" w:rsidRPr="00FE223D">
        <w:rPr>
          <w:rFonts w:ascii="Sylfaen" w:hAnsi="Sylfaen"/>
          <w:iCs/>
        </w:rPr>
        <w:t xml:space="preserve">2 (d) </w:t>
      </w:r>
      <w:r w:rsidRPr="00FE223D">
        <w:rPr>
          <w:rFonts w:ascii="Sylfaen" w:hAnsi="Sylfaen"/>
          <w:iCs/>
          <w:lang w:val="ka-GE"/>
        </w:rPr>
        <w:t>და</w:t>
      </w:r>
      <w:r w:rsidR="00F0037F" w:rsidRPr="00FE223D">
        <w:rPr>
          <w:rFonts w:ascii="Sylfaen" w:hAnsi="Sylfaen"/>
          <w:iCs/>
        </w:rPr>
        <w:t xml:space="preserve"> (e)</w:t>
      </w:r>
    </w:p>
    <w:p w14:paraId="045892ED" w14:textId="77777777" w:rsidR="00ED2FF7" w:rsidRPr="00FE223D" w:rsidRDefault="00ED2FF7" w:rsidP="00ED2FF7">
      <w:pPr>
        <w:tabs>
          <w:tab w:val="left" w:pos="4536"/>
        </w:tabs>
        <w:spacing w:after="120"/>
        <w:ind w:left="4536" w:right="1134" w:hanging="3402"/>
        <w:jc w:val="both"/>
        <w:rPr>
          <w:rFonts w:ascii="Sylfaen" w:hAnsi="Sylfaen"/>
          <w:iCs/>
        </w:rPr>
      </w:pPr>
    </w:p>
    <w:p w14:paraId="10DA130D" w14:textId="422B1BE3" w:rsidR="007D7236" w:rsidRPr="00FE223D" w:rsidRDefault="00F0037F" w:rsidP="00954286">
      <w:pPr>
        <w:pStyle w:val="SingleTxtG"/>
        <w:rPr>
          <w:rFonts w:ascii="Sylfaen" w:hAnsi="Sylfaen"/>
          <w:lang w:val="ka-GE"/>
        </w:rPr>
      </w:pPr>
      <w:r w:rsidRPr="00FE223D">
        <w:rPr>
          <w:rFonts w:ascii="Sylfaen" w:hAnsi="Sylfaen"/>
        </w:rPr>
        <w:t>1.</w:t>
      </w:r>
      <w:r w:rsidRPr="00FE223D">
        <w:rPr>
          <w:rFonts w:ascii="Sylfaen" w:hAnsi="Sylfaen"/>
        </w:rPr>
        <w:tab/>
      </w:r>
      <w:r w:rsidR="003C0C75" w:rsidRPr="00FE223D">
        <w:rPr>
          <w:rFonts w:ascii="Sylfaen" w:hAnsi="Sylfaen"/>
          <w:lang w:val="ka-GE"/>
        </w:rPr>
        <w:t xml:space="preserve">შეწყობინება წარდგენილია ბატონ რიჩარდ სალინის </w:t>
      </w:r>
      <w:r w:rsidR="007B1283" w:rsidRPr="00FE223D">
        <w:rPr>
          <w:rFonts w:ascii="Sylfaen" w:hAnsi="Sylfaen"/>
          <w:lang w:val="ka-GE"/>
        </w:rPr>
        <w:t>(</w:t>
      </w:r>
      <w:r w:rsidR="007B1283" w:rsidRPr="00FE223D">
        <w:rPr>
          <w:rFonts w:ascii="Sylfaen" w:hAnsi="Sylfaen"/>
          <w:lang w:val="ka-GE"/>
        </w:rPr>
        <w:t>დაბადებული 1967 წლის 23 ივნისს</w:t>
      </w:r>
      <w:r w:rsidR="007B1283" w:rsidRPr="00FE223D">
        <w:rPr>
          <w:rFonts w:ascii="Sylfaen" w:hAnsi="Sylfaen"/>
          <w:lang w:val="ka-GE"/>
        </w:rPr>
        <w:t xml:space="preserve">) </w:t>
      </w:r>
      <w:r w:rsidR="003C0C75" w:rsidRPr="00FE223D">
        <w:rPr>
          <w:rFonts w:ascii="Sylfaen" w:hAnsi="Sylfaen"/>
          <w:lang w:val="ka-GE"/>
        </w:rPr>
        <w:t>სახელით</w:t>
      </w:r>
      <w:r w:rsidR="007D7236" w:rsidRPr="00FE223D">
        <w:rPr>
          <w:rFonts w:ascii="Sylfaen" w:hAnsi="Sylfaen"/>
          <w:lang w:val="ka-GE"/>
        </w:rPr>
        <w:t>, რომელიც  შვედეთის მოქალაქეა</w:t>
      </w:r>
      <w:r w:rsidR="007B1283" w:rsidRPr="00FE223D">
        <w:rPr>
          <w:rFonts w:ascii="Sylfaen" w:hAnsi="Sylfaen"/>
          <w:lang w:val="ka-GE"/>
        </w:rPr>
        <w:t xml:space="preserve">. </w:t>
      </w:r>
      <w:r w:rsidR="007D7236" w:rsidRPr="00FE223D">
        <w:rPr>
          <w:rFonts w:ascii="Sylfaen" w:hAnsi="Sylfaen"/>
          <w:lang w:val="ka-GE"/>
        </w:rPr>
        <w:t>შეტყობინების ავტორი სმენის არმქონეა. ის აცხადებს, რომ მისი უფლებები შეილახა კონვენციის 27</w:t>
      </w:r>
      <w:r w:rsidR="00ED2FF7" w:rsidRPr="00FE223D">
        <w:rPr>
          <w:rFonts w:ascii="Sylfaen" w:hAnsi="Sylfaen"/>
          <w:lang w:val="ka-GE"/>
        </w:rPr>
        <w:t xml:space="preserve">-ე მუხლის </w:t>
      </w:r>
      <w:r w:rsidR="007D7236" w:rsidRPr="00FE223D">
        <w:rPr>
          <w:rFonts w:ascii="Sylfaen" w:hAnsi="Sylfaen"/>
          <w:lang w:val="ka-GE"/>
        </w:rPr>
        <w:t>(1) (</w:t>
      </w:r>
      <w:r w:rsidR="007D7236" w:rsidRPr="00FE223D">
        <w:rPr>
          <w:rFonts w:ascii="Sylfaen" w:hAnsi="Sylfaen"/>
          <w:lang w:val="en-US"/>
        </w:rPr>
        <w:t xml:space="preserve">b) (g) </w:t>
      </w:r>
      <w:r w:rsidR="007D7236" w:rsidRPr="00FE223D">
        <w:rPr>
          <w:rFonts w:ascii="Sylfaen" w:hAnsi="Sylfaen"/>
          <w:lang w:val="ka-GE"/>
        </w:rPr>
        <w:t>და (</w:t>
      </w:r>
      <w:r w:rsidR="007D7236" w:rsidRPr="00FE223D">
        <w:rPr>
          <w:rFonts w:ascii="Sylfaen" w:hAnsi="Sylfaen"/>
          <w:lang w:val="en-US"/>
        </w:rPr>
        <w:t xml:space="preserve">i), 5 (2-3), 3 </w:t>
      </w:r>
      <w:r w:rsidR="007D7236" w:rsidRPr="00FE223D">
        <w:rPr>
          <w:rFonts w:ascii="Sylfaen" w:hAnsi="Sylfaen"/>
          <w:lang w:val="ka-GE"/>
        </w:rPr>
        <w:t xml:space="preserve">და 4 (2) შესაბამისად, ლექტორის პოზიციაზე </w:t>
      </w:r>
      <w:r w:rsidR="007B1283" w:rsidRPr="00FE223D">
        <w:rPr>
          <w:rFonts w:ascii="Sylfaen" w:hAnsi="Sylfaen"/>
          <w:lang w:val="ka-GE"/>
        </w:rPr>
        <w:t>დასაქმების</w:t>
      </w:r>
      <w:r w:rsidR="007D7236" w:rsidRPr="00FE223D">
        <w:rPr>
          <w:rFonts w:ascii="Sylfaen" w:hAnsi="Sylfaen"/>
          <w:lang w:val="ka-GE"/>
        </w:rPr>
        <w:t xml:space="preserve"> პროცესში.</w:t>
      </w:r>
      <w:r w:rsidR="00ED2FF7" w:rsidRPr="00FE223D">
        <w:rPr>
          <w:rFonts w:ascii="Sylfaen" w:hAnsi="Sylfaen"/>
          <w:lang w:val="ka-GE"/>
        </w:rPr>
        <w:t xml:space="preserve"> მას „შვედეთის სმენის არმქონეთა ასოციაცია“, „შვედეთის სმენის არმქონე ახალგაზრდების ასოციაცია“ და არასამთავრობო ორგანიზაცია „</w:t>
      </w:r>
      <w:r w:rsidR="00ED2FF7" w:rsidRPr="00FE223D">
        <w:rPr>
          <w:rFonts w:ascii="Sylfaen" w:hAnsi="Sylfaen"/>
        </w:rPr>
        <w:t>Med lagen som verktyg</w:t>
      </w:r>
      <w:r w:rsidR="00ED2FF7" w:rsidRPr="00FE223D">
        <w:rPr>
          <w:rFonts w:ascii="Sylfaen" w:hAnsi="Sylfaen"/>
          <w:lang w:val="ka-GE"/>
        </w:rPr>
        <w:t xml:space="preserve">“ წარმოადგენენ. </w:t>
      </w:r>
    </w:p>
    <w:p w14:paraId="4117D754" w14:textId="48F4E675" w:rsidR="00F0037F" w:rsidRPr="00FE223D" w:rsidRDefault="00F0037F" w:rsidP="00F0037F">
      <w:pPr>
        <w:pStyle w:val="H1G"/>
        <w:rPr>
          <w:rFonts w:ascii="Sylfaen" w:hAnsi="Sylfaen"/>
        </w:rPr>
      </w:pPr>
      <w:r w:rsidRPr="00FE223D">
        <w:rPr>
          <w:rFonts w:ascii="Sylfaen" w:hAnsi="Sylfaen"/>
        </w:rPr>
        <w:tab/>
        <w:t>A.</w:t>
      </w:r>
      <w:r w:rsidRPr="00FE223D">
        <w:rPr>
          <w:rFonts w:ascii="Sylfaen" w:hAnsi="Sylfaen"/>
        </w:rPr>
        <w:tab/>
      </w:r>
      <w:r w:rsidR="00ED2FF7" w:rsidRPr="00FE223D">
        <w:rPr>
          <w:rFonts w:ascii="Sylfaen" w:hAnsi="Sylfaen"/>
          <w:lang w:val="ka-GE"/>
        </w:rPr>
        <w:t>მხარეების მიერ წარმოდგენილი ინფორმაციისა და არგუმენტების შეჯამება</w:t>
      </w:r>
    </w:p>
    <w:p w14:paraId="4AAC9386" w14:textId="6F1C5721" w:rsidR="00F0037F" w:rsidRPr="00FE223D" w:rsidRDefault="00F0037F" w:rsidP="00F0037F">
      <w:pPr>
        <w:pStyle w:val="H23G"/>
        <w:rPr>
          <w:rFonts w:ascii="Sylfaen" w:hAnsi="Sylfaen"/>
          <w:lang w:val="ka-GE"/>
        </w:rPr>
      </w:pPr>
      <w:r w:rsidRPr="00FE223D">
        <w:rPr>
          <w:rFonts w:ascii="Sylfaen" w:hAnsi="Sylfaen"/>
        </w:rPr>
        <w:tab/>
      </w:r>
      <w:r w:rsidRPr="00FE223D">
        <w:rPr>
          <w:rFonts w:ascii="Sylfaen" w:hAnsi="Sylfaen"/>
        </w:rPr>
        <w:tab/>
      </w:r>
      <w:r w:rsidR="006B4065" w:rsidRPr="00FE223D">
        <w:rPr>
          <w:rFonts w:ascii="Sylfaen" w:hAnsi="Sylfaen"/>
          <w:lang w:val="ka-GE"/>
        </w:rPr>
        <w:t>შეტყობინების ავტორის მიერ წარმოდგენილი ფაქტობრივი გარემოებები</w:t>
      </w:r>
    </w:p>
    <w:p w14:paraId="2094C862" w14:textId="65C546C1" w:rsidR="006B4065" w:rsidRPr="00FE223D" w:rsidRDefault="00F0037F" w:rsidP="00954286">
      <w:pPr>
        <w:pStyle w:val="SingleTxtG"/>
        <w:rPr>
          <w:rFonts w:ascii="Sylfaen" w:hAnsi="Sylfaen"/>
          <w:lang w:val="ka-GE"/>
        </w:rPr>
      </w:pPr>
      <w:r w:rsidRPr="00FE223D">
        <w:rPr>
          <w:rFonts w:ascii="Sylfaen" w:hAnsi="Sylfaen"/>
        </w:rPr>
        <w:t>2.1</w:t>
      </w:r>
      <w:r w:rsidRPr="00FE223D">
        <w:rPr>
          <w:rFonts w:ascii="Sylfaen" w:hAnsi="Sylfaen"/>
        </w:rPr>
        <w:tab/>
      </w:r>
      <w:r w:rsidR="006B4065" w:rsidRPr="00FE223D">
        <w:rPr>
          <w:rFonts w:ascii="Sylfaen" w:hAnsi="Sylfaen"/>
          <w:lang w:val="ka-GE"/>
        </w:rPr>
        <w:t>მომჩივანმა</w:t>
      </w:r>
      <w:r w:rsidR="000743DA" w:rsidRPr="00FE223D">
        <w:rPr>
          <w:rFonts w:ascii="Sylfaen" w:hAnsi="Sylfaen"/>
          <w:lang w:val="ka-GE"/>
        </w:rPr>
        <w:t xml:space="preserve"> (ავტორმა)</w:t>
      </w:r>
      <w:r w:rsidR="006B4065" w:rsidRPr="00FE223D">
        <w:rPr>
          <w:rFonts w:ascii="Sylfaen" w:hAnsi="Sylfaen"/>
          <w:lang w:val="ka-GE"/>
        </w:rPr>
        <w:t xml:space="preserve"> საჯარო სამართალში დოქტორის ხარისხი 2004 წელს </w:t>
      </w:r>
      <w:r w:rsidR="007B1283" w:rsidRPr="00FE223D">
        <w:rPr>
          <w:rFonts w:ascii="Sylfaen" w:hAnsi="Sylfaen"/>
          <w:lang w:val="ka-GE"/>
        </w:rPr>
        <w:t>მიიღო</w:t>
      </w:r>
      <w:r w:rsidR="006B4065" w:rsidRPr="00FE223D">
        <w:rPr>
          <w:rFonts w:ascii="Sylfaen" w:hAnsi="Sylfaen"/>
          <w:lang w:val="ka-GE"/>
        </w:rPr>
        <w:t>. ამის შემდეგ</w:t>
      </w:r>
      <w:r w:rsidR="007B1283" w:rsidRPr="00FE223D">
        <w:rPr>
          <w:rFonts w:ascii="Sylfaen" w:hAnsi="Sylfaen"/>
          <w:lang w:val="ka-GE"/>
        </w:rPr>
        <w:t>,</w:t>
      </w:r>
      <w:r w:rsidR="006B4065" w:rsidRPr="00FE223D">
        <w:rPr>
          <w:rFonts w:ascii="Sylfaen" w:hAnsi="Sylfaen"/>
          <w:lang w:val="ka-GE"/>
        </w:rPr>
        <w:t xml:space="preserve"> </w:t>
      </w:r>
      <w:r w:rsidR="008B0009" w:rsidRPr="00FE223D">
        <w:rPr>
          <w:rFonts w:ascii="Sylfaen" w:hAnsi="Sylfaen"/>
          <w:lang w:val="ka-GE"/>
        </w:rPr>
        <w:t>მოკლევადიანი კონ</w:t>
      </w:r>
      <w:r w:rsidR="007B1283" w:rsidRPr="00FE223D">
        <w:rPr>
          <w:rFonts w:ascii="Sylfaen" w:hAnsi="Sylfaen"/>
          <w:lang w:val="ka-GE"/>
        </w:rPr>
        <w:t>ტ</w:t>
      </w:r>
      <w:r w:rsidR="008B0009" w:rsidRPr="00FE223D">
        <w:rPr>
          <w:rFonts w:ascii="Sylfaen" w:hAnsi="Sylfaen"/>
          <w:lang w:val="ka-GE"/>
        </w:rPr>
        <w:t>რაქტები</w:t>
      </w:r>
      <w:r w:rsidR="00466979" w:rsidRPr="00FE223D">
        <w:rPr>
          <w:rFonts w:ascii="Sylfaen" w:hAnsi="Sylfaen"/>
          <w:lang w:val="ka-GE"/>
        </w:rPr>
        <w:t>თ</w:t>
      </w:r>
      <w:r w:rsidR="008B0009" w:rsidRPr="00FE223D">
        <w:rPr>
          <w:rFonts w:ascii="Sylfaen" w:hAnsi="Sylfaen"/>
          <w:lang w:val="ka-GE"/>
        </w:rPr>
        <w:t xml:space="preserve"> სხვადასხვა უნივერსიტეტში</w:t>
      </w:r>
      <w:r w:rsidR="00466979" w:rsidRPr="00FE223D">
        <w:rPr>
          <w:rFonts w:ascii="Sylfaen" w:hAnsi="Sylfaen"/>
          <w:lang w:val="ka-GE"/>
        </w:rPr>
        <w:t xml:space="preserve"> მუშაობდა</w:t>
      </w:r>
      <w:r w:rsidR="008B0009" w:rsidRPr="00FE223D">
        <w:rPr>
          <w:rFonts w:ascii="Sylfaen" w:hAnsi="Sylfaen"/>
          <w:lang w:val="ka-GE"/>
        </w:rPr>
        <w:t>.</w:t>
      </w:r>
      <w:r w:rsidR="00466979" w:rsidRPr="00FE223D">
        <w:rPr>
          <w:rFonts w:ascii="Sylfaen" w:hAnsi="Sylfaen"/>
          <w:lang w:val="ka-GE"/>
        </w:rPr>
        <w:t xml:space="preserve"> ამჟამად ის უმე</w:t>
      </w:r>
      <w:r w:rsidR="001152CA" w:rsidRPr="00FE223D">
        <w:rPr>
          <w:rFonts w:ascii="Sylfaen" w:hAnsi="Sylfaen"/>
          <w:lang w:val="ka-GE"/>
        </w:rPr>
        <w:t>ო</w:t>
      </w:r>
      <w:r w:rsidR="00466979" w:rsidRPr="00FE223D">
        <w:rPr>
          <w:rFonts w:ascii="Sylfaen" w:hAnsi="Sylfaen"/>
          <w:lang w:val="ka-GE"/>
        </w:rPr>
        <w:t>ს (</w:t>
      </w:r>
      <w:r w:rsidR="00466979" w:rsidRPr="00FE223D">
        <w:rPr>
          <w:rFonts w:ascii="Sylfaen" w:hAnsi="Sylfaen"/>
        </w:rPr>
        <w:t>Umeå</w:t>
      </w:r>
      <w:r w:rsidR="00466979" w:rsidRPr="00FE223D">
        <w:rPr>
          <w:rFonts w:ascii="Sylfaen" w:hAnsi="Sylfaen"/>
          <w:lang w:val="ka-GE"/>
        </w:rPr>
        <w:t>) უნივერსიტეტშია დასაქმებული.</w:t>
      </w:r>
      <w:r w:rsidR="008B0009" w:rsidRPr="00FE223D">
        <w:rPr>
          <w:rFonts w:ascii="Sylfaen" w:hAnsi="Sylfaen"/>
          <w:lang w:val="ka-GE"/>
        </w:rPr>
        <w:t xml:space="preserve"> </w:t>
      </w:r>
      <w:bookmarkStart w:id="0" w:name="_Hlk107932138"/>
      <w:r w:rsidR="00466979" w:rsidRPr="00FE223D">
        <w:rPr>
          <w:rFonts w:ascii="Sylfaen" w:hAnsi="Sylfaen"/>
          <w:lang w:val="ka-GE"/>
        </w:rPr>
        <w:t xml:space="preserve">ის შვედურ ჟესტურ ენას ასწავლის, რომელიც </w:t>
      </w:r>
      <w:r w:rsidR="000A2962" w:rsidRPr="00FE223D">
        <w:rPr>
          <w:rFonts w:ascii="Sylfaen" w:hAnsi="Sylfaen"/>
          <w:lang w:val="ka-GE"/>
        </w:rPr>
        <w:t>ითარგმნება</w:t>
      </w:r>
      <w:r w:rsidR="00466979" w:rsidRPr="00FE223D">
        <w:rPr>
          <w:rFonts w:ascii="Sylfaen" w:hAnsi="Sylfaen"/>
          <w:lang w:val="ka-GE"/>
        </w:rPr>
        <w:t xml:space="preserve"> სამეტყველო შვედურ ენა</w:t>
      </w:r>
      <w:r w:rsidR="000A2962" w:rsidRPr="00FE223D">
        <w:rPr>
          <w:rFonts w:ascii="Sylfaen" w:hAnsi="Sylfaen"/>
          <w:lang w:val="ka-GE"/>
        </w:rPr>
        <w:t>ზე</w:t>
      </w:r>
      <w:r w:rsidR="00466979" w:rsidRPr="00FE223D">
        <w:rPr>
          <w:rFonts w:ascii="Sylfaen" w:hAnsi="Sylfaen"/>
          <w:lang w:val="ka-GE"/>
        </w:rPr>
        <w:t xml:space="preserve">. </w:t>
      </w:r>
    </w:p>
    <w:bookmarkEnd w:id="0"/>
    <w:p w14:paraId="25219DF2" w14:textId="2922D9E0" w:rsidR="00534BFB" w:rsidRPr="00FE223D" w:rsidRDefault="00F0037F" w:rsidP="00534BFB">
      <w:pPr>
        <w:pStyle w:val="SingleTxtG"/>
        <w:rPr>
          <w:rFonts w:ascii="Sylfaen" w:hAnsi="Sylfaen"/>
          <w:lang w:val="ka-GE"/>
        </w:rPr>
      </w:pPr>
      <w:r w:rsidRPr="00FE223D">
        <w:rPr>
          <w:rFonts w:ascii="Sylfaen" w:hAnsi="Sylfaen"/>
        </w:rPr>
        <w:t>2.2</w:t>
      </w:r>
      <w:r w:rsidRPr="00FE223D">
        <w:rPr>
          <w:rFonts w:ascii="Sylfaen" w:hAnsi="Sylfaen"/>
        </w:rPr>
        <w:tab/>
      </w:r>
      <w:r w:rsidR="00E34762" w:rsidRPr="00FE223D">
        <w:rPr>
          <w:rFonts w:ascii="Sylfaen" w:hAnsi="Sylfaen"/>
          <w:lang w:val="ka-GE"/>
        </w:rPr>
        <w:t>2015 წლის გაზაფხულზე, ს</w:t>
      </w:r>
      <w:r w:rsidR="001152CA" w:rsidRPr="00FE223D">
        <w:rPr>
          <w:rFonts w:ascii="Sylfaen" w:hAnsi="Sylfaen"/>
          <w:lang w:val="ka-GE"/>
        </w:rPr>
        <w:t>ო</w:t>
      </w:r>
      <w:r w:rsidR="00E34762" w:rsidRPr="00FE223D">
        <w:rPr>
          <w:rFonts w:ascii="Sylfaen" w:hAnsi="Sylfaen"/>
          <w:lang w:val="ka-GE"/>
        </w:rPr>
        <w:t>დერტ</w:t>
      </w:r>
      <w:r w:rsidR="001152CA" w:rsidRPr="00FE223D">
        <w:rPr>
          <w:rFonts w:ascii="Sylfaen" w:hAnsi="Sylfaen"/>
          <w:lang w:val="ka-GE"/>
        </w:rPr>
        <w:t>ო</w:t>
      </w:r>
      <w:r w:rsidR="00E34762" w:rsidRPr="00FE223D">
        <w:rPr>
          <w:rFonts w:ascii="Sylfaen" w:hAnsi="Sylfaen"/>
          <w:lang w:val="ka-GE"/>
        </w:rPr>
        <w:t>რნის (</w:t>
      </w:r>
      <w:bookmarkStart w:id="1" w:name="_Hlk107932199"/>
      <w:r w:rsidR="00E34762" w:rsidRPr="00FE223D">
        <w:rPr>
          <w:rFonts w:ascii="Sylfaen" w:hAnsi="Sylfaen"/>
        </w:rPr>
        <w:t>Södertörn</w:t>
      </w:r>
      <w:bookmarkEnd w:id="1"/>
      <w:r w:rsidR="00E34762" w:rsidRPr="00FE223D">
        <w:rPr>
          <w:rFonts w:ascii="Sylfaen" w:hAnsi="Sylfaen"/>
          <w:lang w:val="ka-GE"/>
        </w:rPr>
        <w:t>) უნივერსიტეტმა, რომელიც სა</w:t>
      </w:r>
      <w:r w:rsidR="007B1283" w:rsidRPr="00FE223D">
        <w:rPr>
          <w:rFonts w:ascii="Sylfaen" w:hAnsi="Sylfaen"/>
          <w:lang w:val="ka-GE"/>
        </w:rPr>
        <w:t>ხელმწიფო</w:t>
      </w:r>
      <w:r w:rsidR="00E34762" w:rsidRPr="00FE223D">
        <w:rPr>
          <w:rFonts w:ascii="Sylfaen" w:hAnsi="Sylfaen"/>
          <w:lang w:val="ka-GE"/>
        </w:rPr>
        <w:t xml:space="preserve"> დაწესებულებაა, საჯარო სამართლის ლექტორის (ასოცირებული პროფესორის) თანამდებობაზე</w:t>
      </w:r>
      <w:r w:rsidR="007B1283" w:rsidRPr="00FE223D">
        <w:rPr>
          <w:rFonts w:ascii="Sylfaen" w:hAnsi="Sylfaen"/>
          <w:lang w:val="ka-GE"/>
        </w:rPr>
        <w:t xml:space="preserve"> </w:t>
      </w:r>
      <w:r w:rsidR="007B1283" w:rsidRPr="00FE223D">
        <w:rPr>
          <w:rFonts w:ascii="Sylfaen" w:hAnsi="Sylfaen"/>
          <w:lang w:val="ka-GE"/>
        </w:rPr>
        <w:t>პერმანენტული პოზიცია გამოაცხადა</w:t>
      </w:r>
      <w:r w:rsidR="00E34762" w:rsidRPr="00FE223D">
        <w:rPr>
          <w:rFonts w:ascii="Sylfaen" w:hAnsi="Sylfaen"/>
          <w:lang w:val="ka-GE"/>
        </w:rPr>
        <w:t xml:space="preserve">. ავტორი </w:t>
      </w:r>
      <w:r w:rsidR="007B1283" w:rsidRPr="00FE223D">
        <w:rPr>
          <w:rFonts w:ascii="Sylfaen" w:hAnsi="Sylfaen"/>
          <w:lang w:val="ka-GE"/>
        </w:rPr>
        <w:t xml:space="preserve">ამავე უნივერსიტეტის მიერ </w:t>
      </w:r>
      <w:r w:rsidR="00E34762" w:rsidRPr="00FE223D">
        <w:rPr>
          <w:rFonts w:ascii="Sylfaen" w:hAnsi="Sylfaen"/>
          <w:lang w:val="ka-GE"/>
        </w:rPr>
        <w:t>მანამდეც ყოფილა დაქირავებული მოკლევადიანი კონტრაქტით</w:t>
      </w:r>
      <w:r w:rsidR="00C539AF" w:rsidRPr="00FE223D">
        <w:rPr>
          <w:rFonts w:ascii="Sylfaen" w:hAnsi="Sylfaen"/>
          <w:lang w:val="ka-GE"/>
        </w:rPr>
        <w:t>, რაც ნიშნავს, რომ დამსაქმებლებმა იცოდნენ</w:t>
      </w:r>
      <w:r w:rsidR="008C140E" w:rsidRPr="00FE223D">
        <w:rPr>
          <w:rFonts w:ascii="Sylfaen" w:hAnsi="Sylfaen"/>
          <w:lang w:val="ka-GE"/>
        </w:rPr>
        <w:t>, რომ მას</w:t>
      </w:r>
      <w:r w:rsidR="00C539AF" w:rsidRPr="00FE223D">
        <w:rPr>
          <w:rFonts w:ascii="Sylfaen" w:hAnsi="Sylfaen"/>
          <w:lang w:val="ka-GE"/>
        </w:rPr>
        <w:t xml:space="preserve"> ჟესტური ენის </w:t>
      </w:r>
      <w:r w:rsidR="008C140E" w:rsidRPr="00FE223D">
        <w:rPr>
          <w:rFonts w:ascii="Sylfaen" w:hAnsi="Sylfaen"/>
          <w:lang w:val="ka-GE"/>
        </w:rPr>
        <w:t xml:space="preserve">თარჯიმნის </w:t>
      </w:r>
      <w:r w:rsidR="00C539AF" w:rsidRPr="00FE223D">
        <w:rPr>
          <w:rFonts w:ascii="Sylfaen" w:hAnsi="Sylfaen"/>
          <w:lang w:val="ka-GE"/>
        </w:rPr>
        <w:t>საჭიროებ</w:t>
      </w:r>
      <w:r w:rsidR="008C140E" w:rsidRPr="00FE223D">
        <w:rPr>
          <w:rFonts w:ascii="Sylfaen" w:hAnsi="Sylfaen"/>
          <w:lang w:val="ka-GE"/>
        </w:rPr>
        <w:t>ა ჰქონდა</w:t>
      </w:r>
      <w:r w:rsidR="00C539AF" w:rsidRPr="00FE223D">
        <w:rPr>
          <w:rFonts w:ascii="Sylfaen" w:hAnsi="Sylfaen"/>
          <w:lang w:val="ka-GE"/>
        </w:rPr>
        <w:t xml:space="preserve">. ის ამ პოზიციაზე </w:t>
      </w:r>
      <w:r w:rsidR="00BA1F1F" w:rsidRPr="00FE223D">
        <w:rPr>
          <w:rFonts w:ascii="Sylfaen" w:hAnsi="Sylfaen"/>
          <w:lang w:val="ka-GE"/>
        </w:rPr>
        <w:t xml:space="preserve">დასაქმებისთვის </w:t>
      </w:r>
      <w:r w:rsidR="00C539AF" w:rsidRPr="00FE223D">
        <w:rPr>
          <w:rFonts w:ascii="Sylfaen" w:hAnsi="Sylfaen"/>
          <w:lang w:val="ka-GE"/>
        </w:rPr>
        <w:t xml:space="preserve">ყველაზე კვალიფიციურ კადრად მიიჩნეოდა და რეკრუტირების (სამუშაოზე მიღების) პროცესის ერთ-ერთ ეტაპზე საცდელი ლექციის ჩატარების შესაძლებლობაც მიიღო. მისი კვალიფიკაციების მიუხედავად, უნივერსიტეტმა </w:t>
      </w:r>
      <w:r w:rsidR="00E45D22" w:rsidRPr="00FE223D">
        <w:rPr>
          <w:rFonts w:ascii="Sylfaen" w:hAnsi="Sylfaen"/>
          <w:lang w:val="ka-GE"/>
        </w:rPr>
        <w:t xml:space="preserve">რეკრუტირების პროცესი 2016 წლის 17 მაისს შეაჩერა. უნივერსიტეტის მტკიცებით, მას ზედმეტად ძვირი დაუჯდებოდა ავტორის სხვების თანასწორად დასაქმების უფლების გარანტირების საშუალების, კერძოდ, ჟესტური ენის </w:t>
      </w:r>
      <w:r w:rsidR="008C140E" w:rsidRPr="00FE223D">
        <w:rPr>
          <w:rFonts w:ascii="Sylfaen" w:hAnsi="Sylfaen"/>
          <w:lang w:val="ka-GE"/>
        </w:rPr>
        <w:t xml:space="preserve">თარჯიმნის </w:t>
      </w:r>
      <w:r w:rsidR="00E45D22" w:rsidRPr="00FE223D">
        <w:rPr>
          <w:rFonts w:ascii="Sylfaen" w:hAnsi="Sylfaen"/>
          <w:lang w:val="ka-GE"/>
        </w:rPr>
        <w:t xml:space="preserve">ხარჯების დაფინანსება. მოთხოვნილი  ხარჯები </w:t>
      </w:r>
      <w:r w:rsidR="009919C4" w:rsidRPr="00FE223D">
        <w:rPr>
          <w:rFonts w:ascii="Sylfaen" w:hAnsi="Sylfaen"/>
          <w:lang w:val="ka-GE"/>
        </w:rPr>
        <w:t>წლიურა</w:t>
      </w:r>
      <w:r w:rsidR="00BA1F1F" w:rsidRPr="00FE223D">
        <w:rPr>
          <w:rFonts w:ascii="Sylfaen" w:hAnsi="Sylfaen"/>
          <w:lang w:val="ka-GE"/>
        </w:rPr>
        <w:t>დ</w:t>
      </w:r>
      <w:r w:rsidR="00E45D22" w:rsidRPr="00FE223D">
        <w:rPr>
          <w:rFonts w:ascii="Sylfaen" w:hAnsi="Sylfaen"/>
          <w:lang w:val="ka-GE"/>
        </w:rPr>
        <w:t xml:space="preserve"> 520</w:t>
      </w:r>
      <w:r w:rsidR="00BA1F1F" w:rsidRPr="00FE223D">
        <w:rPr>
          <w:rFonts w:ascii="Sylfaen" w:hAnsi="Sylfaen"/>
          <w:lang w:val="ka-GE"/>
        </w:rPr>
        <w:t xml:space="preserve"> </w:t>
      </w:r>
      <w:r w:rsidR="00E45D22" w:rsidRPr="00FE223D">
        <w:rPr>
          <w:rFonts w:ascii="Sylfaen" w:hAnsi="Sylfaen"/>
          <w:lang w:val="ka-GE"/>
        </w:rPr>
        <w:t>000 შვედურ კრონად (</w:t>
      </w:r>
      <w:r w:rsidR="00E45D22" w:rsidRPr="00FE223D">
        <w:rPr>
          <w:rFonts w:ascii="Sylfaen" w:hAnsi="Sylfaen"/>
          <w:lang w:val="en-US"/>
        </w:rPr>
        <w:t>SEK)</w:t>
      </w:r>
      <w:r w:rsidR="00E45D22" w:rsidRPr="00FE223D">
        <w:rPr>
          <w:rFonts w:ascii="Sylfaen" w:hAnsi="Sylfaen"/>
          <w:lang w:val="ka-GE"/>
        </w:rPr>
        <w:t xml:space="preserve"> შეფასდა</w:t>
      </w:r>
      <w:r w:rsidR="00E45D22" w:rsidRPr="00FE223D">
        <w:rPr>
          <w:rStyle w:val="FootnoteReference"/>
          <w:rFonts w:ascii="Sylfaen" w:hAnsi="Sylfaen"/>
        </w:rPr>
        <w:footnoteReference w:id="3"/>
      </w:r>
      <w:r w:rsidR="00E45D22" w:rsidRPr="00FE223D">
        <w:rPr>
          <w:rFonts w:ascii="Sylfaen" w:hAnsi="Sylfaen"/>
          <w:lang w:val="ka-GE"/>
        </w:rPr>
        <w:t xml:space="preserve">. </w:t>
      </w:r>
      <w:r w:rsidR="009919C4" w:rsidRPr="00FE223D">
        <w:rPr>
          <w:rFonts w:ascii="Sylfaen" w:hAnsi="Sylfaen"/>
          <w:lang w:val="ka-GE"/>
        </w:rPr>
        <w:t>უნივერსიტეტის თანამშრომელთა საშტატო ბიუჯეტი წლიურად ნახევარ მილიარდ შვედურ კრონს (</w:t>
      </w:r>
      <w:r w:rsidR="009919C4" w:rsidRPr="00FE223D">
        <w:rPr>
          <w:rFonts w:ascii="Sylfaen" w:hAnsi="Sylfaen"/>
          <w:lang w:val="en-US"/>
        </w:rPr>
        <w:t xml:space="preserve">SEK) </w:t>
      </w:r>
      <w:r w:rsidR="009919C4" w:rsidRPr="00FE223D">
        <w:rPr>
          <w:rFonts w:ascii="Sylfaen" w:hAnsi="Sylfaen"/>
          <w:lang w:val="ka-GE"/>
        </w:rPr>
        <w:t>აღემატება</w:t>
      </w:r>
      <w:r w:rsidR="00AA2E4E" w:rsidRPr="00FE223D">
        <w:rPr>
          <w:rFonts w:ascii="Sylfaen" w:hAnsi="Sylfaen"/>
          <w:lang w:val="ka-GE"/>
        </w:rPr>
        <w:t>.</w:t>
      </w:r>
      <w:r w:rsidR="009919C4" w:rsidRPr="00FE223D">
        <w:rPr>
          <w:rFonts w:ascii="Sylfaen" w:hAnsi="Sylfaen"/>
          <w:lang w:val="ka-GE"/>
        </w:rPr>
        <w:t xml:space="preserve"> 2016 წელს</w:t>
      </w:r>
      <w:r w:rsidR="00AA2E4E" w:rsidRPr="00FE223D">
        <w:rPr>
          <w:rFonts w:ascii="Sylfaen" w:hAnsi="Sylfaen"/>
          <w:lang w:val="ka-GE"/>
        </w:rPr>
        <w:t xml:space="preserve"> კი</w:t>
      </w:r>
      <w:r w:rsidR="009919C4" w:rsidRPr="00FE223D">
        <w:rPr>
          <w:rFonts w:ascii="Sylfaen" w:hAnsi="Sylfaen"/>
          <w:lang w:val="ka-GE"/>
        </w:rPr>
        <w:t xml:space="preserve"> </w:t>
      </w:r>
      <w:r w:rsidR="00AA2E4E" w:rsidRPr="00FE223D">
        <w:rPr>
          <w:rFonts w:ascii="Sylfaen" w:hAnsi="Sylfaen"/>
          <w:lang w:val="ka-GE"/>
        </w:rPr>
        <w:t>ბიუჯეტის ნამატმა 186 მილიონი შვედური კრონ</w:t>
      </w:r>
      <w:r w:rsidR="009370A7" w:rsidRPr="00FE223D">
        <w:rPr>
          <w:rFonts w:ascii="Sylfaen" w:hAnsi="Sylfaen"/>
          <w:lang w:val="ka-GE"/>
        </w:rPr>
        <w:t>ა</w:t>
      </w:r>
      <w:r w:rsidR="00AA2E4E" w:rsidRPr="00FE223D">
        <w:rPr>
          <w:rFonts w:ascii="Sylfaen" w:hAnsi="Sylfaen"/>
          <w:lang w:val="ka-GE"/>
        </w:rPr>
        <w:t xml:space="preserve"> (</w:t>
      </w:r>
      <w:r w:rsidR="00AA2E4E" w:rsidRPr="00FE223D">
        <w:rPr>
          <w:rFonts w:ascii="Sylfaen" w:hAnsi="Sylfaen"/>
          <w:lang w:val="en-US"/>
        </w:rPr>
        <w:t>SEK)</w:t>
      </w:r>
      <w:r w:rsidR="00AA2E4E" w:rsidRPr="00FE223D">
        <w:rPr>
          <w:rFonts w:ascii="Sylfaen" w:hAnsi="Sylfaen"/>
          <w:lang w:val="ka-GE"/>
        </w:rPr>
        <w:t xml:space="preserve"> შეადგინა</w:t>
      </w:r>
      <w:r w:rsidR="00AA2E4E" w:rsidRPr="00FE223D">
        <w:rPr>
          <w:rStyle w:val="FootnoteReference"/>
          <w:rFonts w:ascii="Sylfaen" w:hAnsi="Sylfaen"/>
        </w:rPr>
        <w:footnoteReference w:id="4"/>
      </w:r>
      <w:r w:rsidR="00AA2E4E" w:rsidRPr="00FE223D">
        <w:rPr>
          <w:rFonts w:ascii="Sylfaen" w:hAnsi="Sylfaen"/>
          <w:lang w:val="ka-GE"/>
        </w:rPr>
        <w:t>.</w:t>
      </w:r>
      <w:r w:rsidR="00534BFB" w:rsidRPr="00FE223D">
        <w:rPr>
          <w:rFonts w:ascii="Sylfaen" w:hAnsi="Sylfaen"/>
          <w:lang w:val="ka-GE"/>
        </w:rPr>
        <w:t xml:space="preserve"> </w:t>
      </w:r>
      <w:r w:rsidR="00DE3B68" w:rsidRPr="00FE223D">
        <w:rPr>
          <w:rFonts w:ascii="Sylfaen" w:hAnsi="Sylfaen"/>
          <w:lang w:val="ka-GE"/>
        </w:rPr>
        <w:t xml:space="preserve">რეკრუტირების პროცესში, </w:t>
      </w:r>
      <w:r w:rsidR="00B72A25" w:rsidRPr="00FE223D">
        <w:rPr>
          <w:rFonts w:ascii="Sylfaen" w:hAnsi="Sylfaen"/>
          <w:lang w:val="ka-GE"/>
        </w:rPr>
        <w:t xml:space="preserve">უნივერსიტეტს სამუშაოს ადაპტირების ალტერნატიული ფორმების ან გონივრული მისადაგების </w:t>
      </w:r>
      <w:r w:rsidR="00BA1F1F" w:rsidRPr="00FE223D">
        <w:rPr>
          <w:rFonts w:ascii="Sylfaen" w:hAnsi="Sylfaen"/>
          <w:lang w:val="ka-GE"/>
        </w:rPr>
        <w:t xml:space="preserve">ღონისძიებების </w:t>
      </w:r>
      <w:r w:rsidR="00B72A25" w:rsidRPr="00FE223D">
        <w:rPr>
          <w:rFonts w:ascii="Sylfaen" w:hAnsi="Sylfaen"/>
          <w:lang w:val="ka-GE"/>
        </w:rPr>
        <w:t xml:space="preserve">დამატებითი მოკვლევა და შეთავაზება </w:t>
      </w:r>
      <w:r w:rsidR="00DE3B68" w:rsidRPr="00FE223D">
        <w:rPr>
          <w:rFonts w:ascii="Sylfaen" w:hAnsi="Sylfaen"/>
          <w:lang w:val="ka-GE"/>
        </w:rPr>
        <w:t xml:space="preserve">საერთოდ </w:t>
      </w:r>
      <w:r w:rsidR="00B72A25" w:rsidRPr="00FE223D">
        <w:rPr>
          <w:rFonts w:ascii="Sylfaen" w:hAnsi="Sylfaen"/>
          <w:lang w:val="ka-GE"/>
        </w:rPr>
        <w:t>არ გაუთვალისწინებია. ასეთი ფორმები, შესაძლოა,</w:t>
      </w:r>
      <w:r w:rsidR="00FA4C81" w:rsidRPr="00FE223D">
        <w:rPr>
          <w:rFonts w:ascii="Sylfaen" w:hAnsi="Sylfaen"/>
          <w:lang w:val="ka-GE"/>
        </w:rPr>
        <w:t xml:space="preserve"> სამუშაო მოვალეობების (მაგალითად, სტუდენტების </w:t>
      </w:r>
      <w:r w:rsidR="008C140E" w:rsidRPr="00FE223D">
        <w:rPr>
          <w:rFonts w:ascii="Sylfaen" w:hAnsi="Sylfaen"/>
          <w:lang w:val="ka-GE"/>
        </w:rPr>
        <w:t>სუპერვიზიის</w:t>
      </w:r>
      <w:r w:rsidR="00DE3B68" w:rsidRPr="00FE223D">
        <w:rPr>
          <w:rFonts w:ascii="Sylfaen" w:hAnsi="Sylfaen"/>
          <w:lang w:val="ka-GE"/>
        </w:rPr>
        <w:t>,</w:t>
      </w:r>
      <w:r w:rsidR="00FA4C81" w:rsidRPr="00FE223D">
        <w:rPr>
          <w:rFonts w:ascii="Sylfaen" w:hAnsi="Sylfaen"/>
          <w:lang w:val="ka-GE"/>
        </w:rPr>
        <w:t xml:space="preserve"> მათთვის გამოცდების ჩატარების</w:t>
      </w:r>
      <w:r w:rsidR="00DE3B68" w:rsidRPr="00FE223D">
        <w:rPr>
          <w:rFonts w:ascii="Sylfaen" w:hAnsi="Sylfaen"/>
          <w:lang w:val="ka-GE"/>
        </w:rPr>
        <w:t xml:space="preserve"> და ვებზე დაფუძნებული ინსტრუქციების</w:t>
      </w:r>
      <w:r w:rsidR="00FA4C81" w:rsidRPr="00FE223D">
        <w:rPr>
          <w:rFonts w:ascii="Sylfaen" w:hAnsi="Sylfaen"/>
          <w:lang w:val="ka-GE"/>
        </w:rPr>
        <w:t>) იმგვარად ადაპტირება</w:t>
      </w:r>
      <w:r w:rsidR="00BA1F1F" w:rsidRPr="00FE223D">
        <w:rPr>
          <w:rFonts w:ascii="Sylfaen" w:hAnsi="Sylfaen"/>
          <w:lang w:val="ka-GE"/>
        </w:rPr>
        <w:t xml:space="preserve"> </w:t>
      </w:r>
      <w:r w:rsidR="00BA1F1F" w:rsidRPr="00FE223D">
        <w:rPr>
          <w:rFonts w:ascii="Sylfaen" w:hAnsi="Sylfaen"/>
          <w:lang w:val="ka-GE"/>
        </w:rPr>
        <w:t>ყოფილიყო</w:t>
      </w:r>
      <w:r w:rsidR="00FA4C81" w:rsidRPr="00FE223D">
        <w:rPr>
          <w:rFonts w:ascii="Sylfaen" w:hAnsi="Sylfaen"/>
          <w:lang w:val="ka-GE"/>
        </w:rPr>
        <w:t xml:space="preserve">, რომ ჟესტური ენის </w:t>
      </w:r>
      <w:r w:rsidR="008C140E" w:rsidRPr="00FE223D">
        <w:rPr>
          <w:rFonts w:ascii="Sylfaen" w:hAnsi="Sylfaen"/>
          <w:lang w:val="ka-GE"/>
        </w:rPr>
        <w:t>თარჯიმანი</w:t>
      </w:r>
      <w:r w:rsidR="00BA1F1F" w:rsidRPr="00FE223D">
        <w:rPr>
          <w:rFonts w:ascii="Sylfaen" w:hAnsi="Sylfaen"/>
          <w:lang w:val="ka-GE"/>
        </w:rPr>
        <w:t xml:space="preserve"> საერთოდ არ გამხდარიყო საჭირო</w:t>
      </w:r>
      <w:r w:rsidR="00DE3B68" w:rsidRPr="00FE223D">
        <w:rPr>
          <w:rFonts w:ascii="Sylfaen" w:hAnsi="Sylfaen"/>
          <w:lang w:val="ka-GE"/>
        </w:rPr>
        <w:t xml:space="preserve">. </w:t>
      </w:r>
    </w:p>
    <w:p w14:paraId="3DD965F0" w14:textId="5DF4AA5D" w:rsidR="00DE3B68" w:rsidRPr="00FE223D" w:rsidRDefault="00F0037F" w:rsidP="00954286">
      <w:pPr>
        <w:pStyle w:val="SingleTxtG"/>
        <w:rPr>
          <w:rFonts w:ascii="Sylfaen" w:hAnsi="Sylfaen"/>
          <w:lang w:val="ka-GE"/>
        </w:rPr>
      </w:pPr>
      <w:r w:rsidRPr="00FE223D">
        <w:rPr>
          <w:rFonts w:ascii="Sylfaen" w:hAnsi="Sylfaen"/>
        </w:rPr>
        <w:t>2.3</w:t>
      </w:r>
      <w:r w:rsidRPr="00FE223D">
        <w:rPr>
          <w:rFonts w:ascii="Sylfaen" w:hAnsi="Sylfaen"/>
        </w:rPr>
        <w:tab/>
      </w:r>
      <w:r w:rsidR="00DE3B68" w:rsidRPr="00FE223D">
        <w:rPr>
          <w:rFonts w:ascii="Sylfaen" w:hAnsi="Sylfaen"/>
          <w:lang w:val="ka-GE"/>
        </w:rPr>
        <w:t xml:space="preserve">ავტორმა საჩივარი დისკრიმინაციის </w:t>
      </w:r>
      <w:r w:rsidR="00440EF1" w:rsidRPr="00FE223D">
        <w:rPr>
          <w:rFonts w:ascii="Sylfaen" w:hAnsi="Sylfaen"/>
          <w:lang w:val="ka-GE"/>
        </w:rPr>
        <w:t>ომბუდსმე</w:t>
      </w:r>
      <w:r w:rsidR="00DE3B68" w:rsidRPr="00FE223D">
        <w:rPr>
          <w:rFonts w:ascii="Sylfaen" w:hAnsi="Sylfaen"/>
          <w:lang w:val="ka-GE"/>
        </w:rPr>
        <w:t>ნთან შეიტანა.</w:t>
      </w:r>
      <w:r w:rsidR="002D48C4" w:rsidRPr="00FE223D">
        <w:rPr>
          <w:rFonts w:ascii="Sylfaen" w:hAnsi="Sylfaen"/>
          <w:lang w:val="ka-GE"/>
        </w:rPr>
        <w:t xml:space="preserve"> </w:t>
      </w:r>
      <w:r w:rsidR="00440EF1" w:rsidRPr="00FE223D">
        <w:rPr>
          <w:rFonts w:ascii="Sylfaen" w:hAnsi="Sylfaen"/>
          <w:lang w:val="ka-GE"/>
        </w:rPr>
        <w:t>ომბუდსმე</w:t>
      </w:r>
      <w:r w:rsidR="00DE3B68" w:rsidRPr="00FE223D">
        <w:rPr>
          <w:rFonts w:ascii="Sylfaen" w:hAnsi="Sylfaen"/>
          <w:lang w:val="ka-GE"/>
        </w:rPr>
        <w:t xml:space="preserve">ნმა </w:t>
      </w:r>
      <w:r w:rsidR="00BA1F1F" w:rsidRPr="00FE223D">
        <w:rPr>
          <w:rFonts w:ascii="Sylfaen" w:hAnsi="Sylfaen"/>
          <w:lang w:val="ka-GE"/>
        </w:rPr>
        <w:t xml:space="preserve">კი, </w:t>
      </w:r>
      <w:r w:rsidR="00BA1F1F" w:rsidRPr="00FE223D">
        <w:rPr>
          <w:rFonts w:ascii="Sylfaen" w:hAnsi="Sylfaen"/>
          <w:lang w:val="ka-GE"/>
        </w:rPr>
        <w:t xml:space="preserve">ავტორის სახელით, </w:t>
      </w:r>
      <w:r w:rsidR="00DE3B68" w:rsidRPr="00FE223D">
        <w:rPr>
          <w:rFonts w:ascii="Sylfaen" w:hAnsi="Sylfaen"/>
          <w:lang w:val="ka-GE"/>
        </w:rPr>
        <w:t>სამოქალაქო სარჩელი</w:t>
      </w:r>
      <w:r w:rsidR="002D48C4" w:rsidRPr="00FE223D">
        <w:rPr>
          <w:rFonts w:ascii="Sylfaen" w:hAnsi="Sylfaen"/>
          <w:lang w:val="ka-GE"/>
        </w:rPr>
        <w:t xml:space="preserve"> </w:t>
      </w:r>
      <w:r w:rsidR="00DE3B68" w:rsidRPr="00FE223D">
        <w:rPr>
          <w:rFonts w:ascii="Sylfaen" w:hAnsi="Sylfaen"/>
          <w:lang w:val="ka-GE"/>
        </w:rPr>
        <w:t xml:space="preserve">შვედეთის შრომის სასამართლოში </w:t>
      </w:r>
      <w:r w:rsidR="002D48C4" w:rsidRPr="00FE223D">
        <w:rPr>
          <w:rFonts w:ascii="Sylfaen" w:hAnsi="Sylfaen"/>
          <w:lang w:val="ka-GE"/>
        </w:rPr>
        <w:t xml:space="preserve">წაიღო. ის ამტკიცებდა, რომ </w:t>
      </w:r>
      <w:r w:rsidR="00BA1F1F" w:rsidRPr="00FE223D">
        <w:rPr>
          <w:rFonts w:ascii="Sylfaen" w:hAnsi="Sylfaen"/>
          <w:lang w:val="ka-GE"/>
        </w:rPr>
        <w:t>დასაქმების</w:t>
      </w:r>
      <w:r w:rsidR="002D48C4" w:rsidRPr="00FE223D">
        <w:rPr>
          <w:rFonts w:ascii="Sylfaen" w:hAnsi="Sylfaen"/>
          <w:lang w:val="ka-GE"/>
        </w:rPr>
        <w:t xml:space="preserve"> შეჩერება დისკრიმინაციული იყო და დისკრიმინაციის </w:t>
      </w:r>
      <w:r w:rsidR="00D9638F" w:rsidRPr="00FE223D">
        <w:rPr>
          <w:rFonts w:ascii="Sylfaen" w:hAnsi="Sylfaen"/>
          <w:lang w:val="ka-GE"/>
        </w:rPr>
        <w:t xml:space="preserve">შესახებ </w:t>
      </w:r>
      <w:r w:rsidR="00A73331" w:rsidRPr="00FE223D">
        <w:rPr>
          <w:rFonts w:ascii="Sylfaen" w:hAnsi="Sylfaen"/>
          <w:lang w:val="ka-GE"/>
        </w:rPr>
        <w:t>კანონის</w:t>
      </w:r>
      <w:r w:rsidR="002D48C4" w:rsidRPr="00FE223D">
        <w:rPr>
          <w:rFonts w:ascii="Sylfaen" w:hAnsi="Sylfaen"/>
          <w:lang w:val="ka-GE"/>
        </w:rPr>
        <w:t xml:space="preserve"> (2008:657) შემდეგ პუნქტებს</w:t>
      </w:r>
      <w:r w:rsidR="00BA1F1F" w:rsidRPr="00FE223D">
        <w:rPr>
          <w:rFonts w:ascii="Sylfaen" w:hAnsi="Sylfaen"/>
          <w:lang w:val="ka-GE"/>
        </w:rPr>
        <w:t xml:space="preserve"> </w:t>
      </w:r>
      <w:r w:rsidR="00BA1F1F" w:rsidRPr="00FE223D">
        <w:rPr>
          <w:rFonts w:ascii="Sylfaen" w:hAnsi="Sylfaen"/>
          <w:lang w:val="ka-GE"/>
        </w:rPr>
        <w:t>არღვევდა</w:t>
      </w:r>
      <w:r w:rsidR="002D48C4" w:rsidRPr="00FE223D">
        <w:rPr>
          <w:rFonts w:ascii="Sylfaen" w:hAnsi="Sylfaen"/>
          <w:lang w:val="ka-GE"/>
        </w:rPr>
        <w:t xml:space="preserve">: თავი 1, </w:t>
      </w:r>
      <w:r w:rsidR="00BA1F1F" w:rsidRPr="00FE223D">
        <w:rPr>
          <w:rFonts w:ascii="Sylfaen" w:hAnsi="Sylfaen"/>
          <w:lang w:val="ka-GE"/>
        </w:rPr>
        <w:t>ნაწილი</w:t>
      </w:r>
      <w:r w:rsidR="002D48C4" w:rsidRPr="00FE223D">
        <w:rPr>
          <w:rFonts w:ascii="Sylfaen" w:hAnsi="Sylfaen"/>
          <w:lang w:val="ka-GE"/>
        </w:rPr>
        <w:t xml:space="preserve"> 4:3 და თავი 2, </w:t>
      </w:r>
      <w:r w:rsidR="00BA1F1F" w:rsidRPr="00FE223D">
        <w:rPr>
          <w:rFonts w:ascii="Sylfaen" w:hAnsi="Sylfaen"/>
          <w:lang w:val="ka-GE"/>
        </w:rPr>
        <w:t>ნაწილი</w:t>
      </w:r>
      <w:r w:rsidR="002D48C4" w:rsidRPr="00FE223D">
        <w:rPr>
          <w:rFonts w:ascii="Sylfaen" w:hAnsi="Sylfaen"/>
          <w:lang w:val="ka-GE"/>
        </w:rPr>
        <w:t xml:space="preserve"> 1. ამაზე დაყრდნობით, დისკრიმინაციის </w:t>
      </w:r>
      <w:r w:rsidR="00440EF1" w:rsidRPr="00FE223D">
        <w:rPr>
          <w:rFonts w:ascii="Sylfaen" w:hAnsi="Sylfaen"/>
          <w:lang w:val="ka-GE"/>
        </w:rPr>
        <w:lastRenderedPageBreak/>
        <w:t>ომბუდსმე</w:t>
      </w:r>
      <w:r w:rsidR="002D48C4" w:rsidRPr="00FE223D">
        <w:rPr>
          <w:rFonts w:ascii="Sylfaen" w:hAnsi="Sylfaen"/>
          <w:lang w:val="ka-GE"/>
        </w:rPr>
        <w:t>ნი ამტკიცებდა, რომ</w:t>
      </w:r>
      <w:r w:rsidR="00BA1F1F" w:rsidRPr="00FE223D">
        <w:rPr>
          <w:rFonts w:ascii="Sylfaen" w:hAnsi="Sylfaen"/>
          <w:lang w:val="ka-GE"/>
        </w:rPr>
        <w:t>,</w:t>
      </w:r>
      <w:r w:rsidR="002D48C4" w:rsidRPr="00FE223D">
        <w:rPr>
          <w:rFonts w:ascii="Sylfaen" w:hAnsi="Sylfaen"/>
          <w:lang w:val="ka-GE"/>
        </w:rPr>
        <w:t xml:space="preserve"> </w:t>
      </w:r>
      <w:r w:rsidR="00BA1F1F" w:rsidRPr="00FE223D">
        <w:rPr>
          <w:rFonts w:ascii="Sylfaen" w:hAnsi="Sylfaen"/>
          <w:lang w:val="ka-GE"/>
        </w:rPr>
        <w:t>დისკრიმინაციის გამო</w:t>
      </w:r>
      <w:r w:rsidR="00BA1F1F" w:rsidRPr="00FE223D">
        <w:rPr>
          <w:rFonts w:ascii="Sylfaen" w:hAnsi="Sylfaen"/>
          <w:lang w:val="ka-GE"/>
        </w:rPr>
        <w:t xml:space="preserve">, </w:t>
      </w:r>
      <w:r w:rsidR="002D48C4" w:rsidRPr="00FE223D">
        <w:rPr>
          <w:rFonts w:ascii="Sylfaen" w:hAnsi="Sylfaen"/>
          <w:lang w:val="ka-GE"/>
        </w:rPr>
        <w:t>ავტორს</w:t>
      </w:r>
      <w:r w:rsidR="00EF4BA3" w:rsidRPr="00FE223D">
        <w:rPr>
          <w:rFonts w:ascii="Sylfaen" w:hAnsi="Sylfaen"/>
          <w:lang w:val="ka-GE"/>
        </w:rPr>
        <w:t xml:space="preserve"> კომპენსაციის სახით</w:t>
      </w:r>
      <w:r w:rsidR="002D48C4" w:rsidRPr="00FE223D">
        <w:rPr>
          <w:rFonts w:ascii="Sylfaen" w:hAnsi="Sylfaen"/>
          <w:lang w:val="ka-GE"/>
        </w:rPr>
        <w:t xml:space="preserve"> </w:t>
      </w:r>
      <w:r w:rsidR="00EF4BA3" w:rsidRPr="00FE223D">
        <w:rPr>
          <w:rFonts w:ascii="Sylfaen" w:hAnsi="Sylfaen"/>
          <w:lang w:val="ka-GE"/>
        </w:rPr>
        <w:t>100</w:t>
      </w:r>
      <w:r w:rsidR="00BA1F1F" w:rsidRPr="00FE223D">
        <w:rPr>
          <w:rFonts w:ascii="Sylfaen" w:hAnsi="Sylfaen"/>
          <w:lang w:val="ka-GE"/>
        </w:rPr>
        <w:t xml:space="preserve"> </w:t>
      </w:r>
      <w:r w:rsidR="00EF4BA3" w:rsidRPr="00FE223D">
        <w:rPr>
          <w:rFonts w:ascii="Sylfaen" w:hAnsi="Sylfaen"/>
          <w:lang w:val="ka-GE"/>
        </w:rPr>
        <w:t>000 შვედური კრონ</w:t>
      </w:r>
      <w:r w:rsidR="009370A7" w:rsidRPr="00FE223D">
        <w:rPr>
          <w:rFonts w:ascii="Sylfaen" w:hAnsi="Sylfaen"/>
          <w:lang w:val="ka-GE"/>
        </w:rPr>
        <w:t>ა</w:t>
      </w:r>
      <w:r w:rsidR="00EF4BA3" w:rsidRPr="00FE223D">
        <w:rPr>
          <w:rFonts w:ascii="Sylfaen" w:hAnsi="Sylfaen"/>
          <w:lang w:val="ka-GE"/>
        </w:rPr>
        <w:t xml:space="preserve"> (</w:t>
      </w:r>
      <w:r w:rsidR="00EF4BA3" w:rsidRPr="00FE223D">
        <w:rPr>
          <w:rFonts w:ascii="Sylfaen" w:hAnsi="Sylfaen"/>
          <w:lang w:val="en-US"/>
        </w:rPr>
        <w:t>SEK)</w:t>
      </w:r>
      <w:r w:rsidR="00EF4BA3" w:rsidRPr="00FE223D">
        <w:rPr>
          <w:rStyle w:val="FootnoteReference"/>
          <w:rFonts w:ascii="Sylfaen" w:hAnsi="Sylfaen"/>
        </w:rPr>
        <w:footnoteReference w:id="5"/>
      </w:r>
      <w:r w:rsidR="00EF4BA3" w:rsidRPr="00FE223D">
        <w:rPr>
          <w:rFonts w:ascii="Sylfaen" w:hAnsi="Sylfaen"/>
          <w:lang w:val="en-US"/>
        </w:rPr>
        <w:t xml:space="preserve"> </w:t>
      </w:r>
      <w:r w:rsidR="00BA1F1F" w:rsidRPr="00FE223D">
        <w:rPr>
          <w:rFonts w:ascii="Sylfaen" w:hAnsi="Sylfaen"/>
          <w:lang w:val="ka-GE"/>
        </w:rPr>
        <w:t>უნდა მიეღო</w:t>
      </w:r>
      <w:r w:rsidR="00EF4BA3" w:rsidRPr="00FE223D">
        <w:rPr>
          <w:rFonts w:ascii="Sylfaen" w:hAnsi="Sylfaen"/>
          <w:lang w:val="ka-GE"/>
        </w:rPr>
        <w:t>.</w:t>
      </w:r>
    </w:p>
    <w:p w14:paraId="611D4650" w14:textId="2E2E1E4F" w:rsidR="00EF4BA3" w:rsidRPr="00FE223D" w:rsidRDefault="00F0037F" w:rsidP="00D10883">
      <w:pPr>
        <w:pStyle w:val="SingleTxtG"/>
        <w:rPr>
          <w:rFonts w:ascii="Sylfaen" w:hAnsi="Sylfaen"/>
          <w:lang w:val="ka-GE"/>
        </w:rPr>
      </w:pPr>
      <w:r w:rsidRPr="00FE223D">
        <w:rPr>
          <w:rFonts w:ascii="Sylfaen" w:hAnsi="Sylfaen"/>
        </w:rPr>
        <w:t>2.4</w:t>
      </w:r>
      <w:r w:rsidRPr="00FE223D">
        <w:rPr>
          <w:rFonts w:ascii="Sylfaen" w:hAnsi="Sylfaen"/>
        </w:rPr>
        <w:tab/>
      </w:r>
      <w:r w:rsidR="00EF4BA3" w:rsidRPr="00FE223D">
        <w:rPr>
          <w:rFonts w:ascii="Sylfaen" w:hAnsi="Sylfaen"/>
          <w:lang w:val="ka-GE"/>
        </w:rPr>
        <w:t>2017 წლის 11 ოქტომბერს სასამართლომ დაადგინა, რომ უნივერსიტეტს ავტორის დისკრიმინაცია</w:t>
      </w:r>
      <w:r w:rsidR="00814522" w:rsidRPr="00FE223D">
        <w:rPr>
          <w:rFonts w:ascii="Sylfaen" w:hAnsi="Sylfaen"/>
          <w:lang w:val="ka-GE"/>
        </w:rPr>
        <w:t xml:space="preserve"> არ მოუხდენია</w:t>
      </w:r>
      <w:r w:rsidR="00EF4BA3" w:rsidRPr="00FE223D">
        <w:rPr>
          <w:rFonts w:ascii="Sylfaen" w:hAnsi="Sylfaen"/>
          <w:lang w:val="ka-GE"/>
        </w:rPr>
        <w:t xml:space="preserve">, იმის გათვალისწინებით, რომ </w:t>
      </w:r>
      <w:r w:rsidR="00D10883" w:rsidRPr="00FE223D">
        <w:rPr>
          <w:rFonts w:ascii="Sylfaen" w:hAnsi="Sylfaen"/>
          <w:lang w:val="ka-GE"/>
        </w:rPr>
        <w:t xml:space="preserve">უნივერსიტეტმა </w:t>
      </w:r>
      <w:r w:rsidR="00814522" w:rsidRPr="00FE223D">
        <w:rPr>
          <w:rFonts w:ascii="Sylfaen" w:hAnsi="Sylfaen"/>
          <w:lang w:val="ka-GE"/>
        </w:rPr>
        <w:t xml:space="preserve">დასაქმების პროცესი </w:t>
      </w:r>
      <w:r w:rsidR="00D10883" w:rsidRPr="00FE223D">
        <w:rPr>
          <w:rFonts w:ascii="Sylfaen" w:hAnsi="Sylfaen"/>
          <w:lang w:val="ka-GE"/>
        </w:rPr>
        <w:t xml:space="preserve">ჟესტური ენის </w:t>
      </w:r>
      <w:r w:rsidR="008C140E" w:rsidRPr="00FE223D">
        <w:rPr>
          <w:rFonts w:ascii="Sylfaen" w:hAnsi="Sylfaen"/>
          <w:lang w:val="ka-GE"/>
        </w:rPr>
        <w:t>თარჯიმნის</w:t>
      </w:r>
      <w:r w:rsidR="00D10883" w:rsidRPr="00FE223D">
        <w:rPr>
          <w:rFonts w:ascii="Sylfaen" w:hAnsi="Sylfaen"/>
          <w:lang w:val="ka-GE"/>
        </w:rPr>
        <w:t xml:space="preserve"> დაფინანსების სიძვირის გამო </w:t>
      </w:r>
      <w:r w:rsidR="00EF4BA3" w:rsidRPr="00FE223D">
        <w:rPr>
          <w:rFonts w:ascii="Sylfaen" w:hAnsi="Sylfaen"/>
          <w:lang w:val="ka-GE"/>
        </w:rPr>
        <w:t>გა</w:t>
      </w:r>
      <w:r w:rsidR="00D10883" w:rsidRPr="00FE223D">
        <w:rPr>
          <w:rFonts w:ascii="Sylfaen" w:hAnsi="Sylfaen"/>
          <w:lang w:val="ka-GE"/>
        </w:rPr>
        <w:t>ა</w:t>
      </w:r>
      <w:r w:rsidR="00EF4BA3" w:rsidRPr="00FE223D">
        <w:rPr>
          <w:rFonts w:ascii="Sylfaen" w:hAnsi="Sylfaen"/>
          <w:lang w:val="ka-GE"/>
        </w:rPr>
        <w:t>უქმა</w:t>
      </w:r>
      <w:r w:rsidR="00D10883" w:rsidRPr="00FE223D">
        <w:rPr>
          <w:rFonts w:ascii="Sylfaen" w:hAnsi="Sylfaen"/>
          <w:lang w:val="ka-GE"/>
        </w:rPr>
        <w:t xml:space="preserve">. სასამართლომ დაადგინა, რომ </w:t>
      </w:r>
      <w:r w:rsidR="00814522" w:rsidRPr="00FE223D">
        <w:rPr>
          <w:rFonts w:ascii="Sylfaen" w:hAnsi="Sylfaen"/>
          <w:lang w:val="ka-GE"/>
        </w:rPr>
        <w:t>გონივრული</w:t>
      </w:r>
      <w:r w:rsidR="00814522" w:rsidRPr="00FE223D">
        <w:rPr>
          <w:rFonts w:ascii="Sylfaen" w:hAnsi="Sylfaen"/>
          <w:lang w:val="ka-GE"/>
        </w:rPr>
        <w:t xml:space="preserve"> </w:t>
      </w:r>
      <w:r w:rsidR="00D10883" w:rsidRPr="00FE223D">
        <w:rPr>
          <w:rFonts w:ascii="Sylfaen" w:hAnsi="Sylfaen"/>
          <w:lang w:val="ka-GE"/>
        </w:rPr>
        <w:t xml:space="preserve">არ იყო  უნივერსიტეტისგან </w:t>
      </w:r>
      <w:r w:rsidR="00F367FF" w:rsidRPr="00FE223D">
        <w:rPr>
          <w:rFonts w:ascii="Sylfaen" w:hAnsi="Sylfaen"/>
          <w:lang w:val="ka-GE"/>
        </w:rPr>
        <w:t>თარჯიმნი</w:t>
      </w:r>
      <w:r w:rsidR="00D10883" w:rsidRPr="00FE223D">
        <w:rPr>
          <w:rFonts w:ascii="Sylfaen" w:hAnsi="Sylfaen"/>
          <w:lang w:val="ka-GE"/>
        </w:rPr>
        <w:t xml:space="preserve">ს ხარჯების დაფინანსების მოთხოვნა, </w:t>
      </w:r>
      <w:r w:rsidR="00814522" w:rsidRPr="00FE223D">
        <w:rPr>
          <w:rFonts w:ascii="Sylfaen" w:hAnsi="Sylfaen"/>
          <w:lang w:val="ka-GE"/>
        </w:rPr>
        <w:t xml:space="preserve">რადგან ეს დამსაქმებელს </w:t>
      </w:r>
      <w:r w:rsidR="00D10883" w:rsidRPr="00FE223D">
        <w:rPr>
          <w:rFonts w:ascii="Sylfaen" w:hAnsi="Sylfaen"/>
          <w:lang w:val="ka-GE"/>
        </w:rPr>
        <w:t>წელიწადში 520</w:t>
      </w:r>
      <w:r w:rsidR="00814522" w:rsidRPr="00FE223D">
        <w:rPr>
          <w:rFonts w:ascii="Sylfaen" w:hAnsi="Sylfaen"/>
          <w:lang w:val="ka-GE"/>
        </w:rPr>
        <w:t xml:space="preserve"> </w:t>
      </w:r>
      <w:r w:rsidR="00D10883" w:rsidRPr="00FE223D">
        <w:rPr>
          <w:rFonts w:ascii="Sylfaen" w:hAnsi="Sylfaen"/>
          <w:lang w:val="ka-GE"/>
        </w:rPr>
        <w:t>000 შვედური კრონ</w:t>
      </w:r>
      <w:r w:rsidR="009370A7" w:rsidRPr="00FE223D">
        <w:rPr>
          <w:rFonts w:ascii="Sylfaen" w:hAnsi="Sylfaen"/>
          <w:lang w:val="ka-GE"/>
        </w:rPr>
        <w:t>ა</w:t>
      </w:r>
      <w:r w:rsidR="00D10883" w:rsidRPr="00FE223D">
        <w:rPr>
          <w:rFonts w:ascii="Sylfaen" w:hAnsi="Sylfaen"/>
          <w:lang w:val="ka-GE"/>
        </w:rPr>
        <w:t xml:space="preserve"> (</w:t>
      </w:r>
      <w:r w:rsidR="00D10883" w:rsidRPr="00FE223D">
        <w:rPr>
          <w:rFonts w:ascii="Sylfaen" w:hAnsi="Sylfaen"/>
          <w:lang w:val="en-US"/>
        </w:rPr>
        <w:t>SEK)</w:t>
      </w:r>
      <w:r w:rsidR="00D10883" w:rsidRPr="00FE223D">
        <w:rPr>
          <w:rFonts w:ascii="Sylfaen" w:hAnsi="Sylfaen"/>
          <w:lang w:val="ka-GE"/>
        </w:rPr>
        <w:t xml:space="preserve"> დაუჯდებოდა, მიუხედავად მისი საშტატო ბიუჯეტის</w:t>
      </w:r>
      <w:r w:rsidR="00814522" w:rsidRPr="00FE223D">
        <w:rPr>
          <w:rFonts w:ascii="Sylfaen" w:hAnsi="Sylfaen"/>
          <w:lang w:val="ka-GE"/>
        </w:rPr>
        <w:t xml:space="preserve"> სიდიდისა</w:t>
      </w:r>
      <w:r w:rsidR="00D10883" w:rsidRPr="00FE223D">
        <w:rPr>
          <w:rFonts w:ascii="Sylfaen" w:hAnsi="Sylfaen"/>
          <w:lang w:val="ka-GE"/>
        </w:rPr>
        <w:t>. სასამართლო საბოლოო ინსტანცია</w:t>
      </w:r>
      <w:r w:rsidR="00A73331" w:rsidRPr="00FE223D">
        <w:rPr>
          <w:rFonts w:ascii="Sylfaen" w:hAnsi="Sylfaen"/>
          <w:lang w:val="ka-GE"/>
        </w:rPr>
        <w:t>ა</w:t>
      </w:r>
      <w:r w:rsidR="00D10883" w:rsidRPr="00FE223D">
        <w:rPr>
          <w:rFonts w:ascii="Sylfaen" w:hAnsi="Sylfaen"/>
          <w:lang w:val="ka-GE"/>
        </w:rPr>
        <w:t xml:space="preserve"> იმ საქმეებში, რომლებიც შრომითი დავების სასამართლო წარმოების კანონით</w:t>
      </w:r>
      <w:r w:rsidR="00A73331" w:rsidRPr="00FE223D">
        <w:rPr>
          <w:rFonts w:ascii="Sylfaen" w:hAnsi="Sylfaen"/>
          <w:lang w:val="ka-GE"/>
        </w:rPr>
        <w:t xml:space="preserve"> განიხილება</w:t>
      </w:r>
      <w:r w:rsidR="00D10883" w:rsidRPr="00FE223D">
        <w:rPr>
          <w:rFonts w:ascii="Sylfaen" w:hAnsi="Sylfaen"/>
          <w:lang w:val="ka-GE"/>
        </w:rPr>
        <w:t>.</w:t>
      </w:r>
    </w:p>
    <w:p w14:paraId="5BD4490D" w14:textId="14567978" w:rsidR="00F0037F" w:rsidRPr="00FE223D" w:rsidRDefault="00F0037F" w:rsidP="00F0037F">
      <w:pPr>
        <w:pStyle w:val="H23G"/>
        <w:rPr>
          <w:rFonts w:ascii="Sylfaen" w:hAnsi="Sylfaen"/>
        </w:rPr>
      </w:pPr>
      <w:r w:rsidRPr="00FE223D">
        <w:rPr>
          <w:rFonts w:ascii="Sylfaen" w:hAnsi="Sylfaen"/>
        </w:rPr>
        <w:tab/>
      </w:r>
      <w:r w:rsidRPr="00FE223D">
        <w:rPr>
          <w:rFonts w:ascii="Sylfaen" w:hAnsi="Sylfaen"/>
        </w:rPr>
        <w:tab/>
      </w:r>
      <w:r w:rsidR="00A73331" w:rsidRPr="00FE223D">
        <w:rPr>
          <w:rFonts w:ascii="Sylfaen" w:hAnsi="Sylfaen"/>
          <w:lang w:val="ka-GE"/>
        </w:rPr>
        <w:t>საჩივარი</w:t>
      </w:r>
    </w:p>
    <w:p w14:paraId="319DD48D" w14:textId="6FEFF5A0" w:rsidR="009C21B8" w:rsidRPr="00FE223D" w:rsidRDefault="00F0037F" w:rsidP="00954286">
      <w:pPr>
        <w:pStyle w:val="SingleTxtG"/>
        <w:rPr>
          <w:rFonts w:ascii="Sylfaen" w:hAnsi="Sylfaen"/>
          <w:lang w:val="en-US"/>
        </w:rPr>
      </w:pPr>
      <w:r w:rsidRPr="00FE223D">
        <w:rPr>
          <w:rFonts w:ascii="Sylfaen" w:hAnsi="Sylfaen"/>
        </w:rPr>
        <w:t>3.1</w:t>
      </w:r>
      <w:r w:rsidRPr="00FE223D">
        <w:rPr>
          <w:rFonts w:ascii="Sylfaen" w:hAnsi="Sylfaen"/>
        </w:rPr>
        <w:tab/>
      </w:r>
      <w:r w:rsidR="009C21B8" w:rsidRPr="00FE223D">
        <w:rPr>
          <w:rFonts w:ascii="Sylfaen" w:hAnsi="Sylfaen"/>
          <w:lang w:val="ka-GE"/>
        </w:rPr>
        <w:t>ავტორი ამტკიცებს, რომ სახელმწიფო მხარემ მისი დასაქმების თანასწორი უფლების განხორციელება და გონივრული მისადაგების პრინციპის გატარება</w:t>
      </w:r>
      <w:r w:rsidR="00814522" w:rsidRPr="00FE223D">
        <w:rPr>
          <w:rFonts w:ascii="Sylfaen" w:hAnsi="Sylfaen"/>
          <w:lang w:val="ka-GE"/>
        </w:rPr>
        <w:t xml:space="preserve"> </w:t>
      </w:r>
      <w:r w:rsidR="00814522" w:rsidRPr="00FE223D">
        <w:rPr>
          <w:rFonts w:ascii="Sylfaen" w:hAnsi="Sylfaen"/>
          <w:lang w:val="ka-GE"/>
        </w:rPr>
        <w:t>ვერ უზრუნველყო</w:t>
      </w:r>
      <w:r w:rsidR="009C21B8" w:rsidRPr="00FE223D">
        <w:rPr>
          <w:rFonts w:ascii="Sylfaen" w:hAnsi="Sylfaen"/>
          <w:lang w:val="ka-GE"/>
        </w:rPr>
        <w:t>, რაც სახელმწიფოს</w:t>
      </w:r>
      <w:r w:rsidR="004C2F77" w:rsidRPr="00FE223D">
        <w:rPr>
          <w:rFonts w:ascii="Sylfaen" w:hAnsi="Sylfaen"/>
          <w:lang w:val="ka-GE"/>
        </w:rPr>
        <w:t xml:space="preserve"> </w:t>
      </w:r>
      <w:r w:rsidR="00814522" w:rsidRPr="00FE223D">
        <w:rPr>
          <w:rFonts w:ascii="Sylfaen" w:hAnsi="Sylfaen"/>
          <w:lang w:val="ka-GE"/>
        </w:rPr>
        <w:t xml:space="preserve">მიერ </w:t>
      </w:r>
      <w:r w:rsidR="004C2F77" w:rsidRPr="00FE223D">
        <w:rPr>
          <w:rFonts w:ascii="Sylfaen" w:hAnsi="Sylfaen"/>
          <w:lang w:val="ka-GE"/>
        </w:rPr>
        <w:t>იმ</w:t>
      </w:r>
      <w:r w:rsidR="009C21B8" w:rsidRPr="00FE223D">
        <w:rPr>
          <w:rFonts w:ascii="Sylfaen" w:hAnsi="Sylfaen"/>
          <w:lang w:val="ka-GE"/>
        </w:rPr>
        <w:t xml:space="preserve"> ვალდებულებების</w:t>
      </w:r>
      <w:r w:rsidR="004C2F77" w:rsidRPr="00FE223D">
        <w:rPr>
          <w:rFonts w:ascii="Sylfaen" w:hAnsi="Sylfaen"/>
          <w:lang w:val="ka-GE"/>
        </w:rPr>
        <w:t xml:space="preserve"> დარღვევაა</w:t>
      </w:r>
      <w:r w:rsidR="009C21B8" w:rsidRPr="00FE223D">
        <w:rPr>
          <w:rFonts w:ascii="Sylfaen" w:hAnsi="Sylfaen"/>
          <w:lang w:val="ka-GE"/>
        </w:rPr>
        <w:t xml:space="preserve">, რომლებიც </w:t>
      </w:r>
      <w:r w:rsidR="004C2F77" w:rsidRPr="00FE223D">
        <w:rPr>
          <w:rFonts w:ascii="Sylfaen" w:hAnsi="Sylfaen"/>
          <w:lang w:val="ka-GE"/>
        </w:rPr>
        <w:t xml:space="preserve">გაწერილია </w:t>
      </w:r>
      <w:r w:rsidR="009C21B8" w:rsidRPr="00FE223D">
        <w:rPr>
          <w:rFonts w:ascii="Sylfaen" w:hAnsi="Sylfaen"/>
          <w:lang w:val="ka-GE"/>
        </w:rPr>
        <w:t>კონვენციის მუხლებით 27 (1) (</w:t>
      </w:r>
      <w:r w:rsidR="009C21B8" w:rsidRPr="00FE223D">
        <w:rPr>
          <w:rFonts w:ascii="Sylfaen" w:hAnsi="Sylfaen"/>
          <w:lang w:val="en-US"/>
        </w:rPr>
        <w:t xml:space="preserve">b) (g) </w:t>
      </w:r>
      <w:r w:rsidR="009C21B8" w:rsidRPr="00FE223D">
        <w:rPr>
          <w:rFonts w:ascii="Sylfaen" w:hAnsi="Sylfaen"/>
          <w:lang w:val="ka-GE"/>
        </w:rPr>
        <w:t>და (</w:t>
      </w:r>
      <w:r w:rsidR="009C21B8" w:rsidRPr="00FE223D">
        <w:rPr>
          <w:rFonts w:ascii="Sylfaen" w:hAnsi="Sylfaen"/>
          <w:lang w:val="en-US"/>
        </w:rPr>
        <w:t>i)</w:t>
      </w:r>
      <w:r w:rsidR="004C2F77" w:rsidRPr="00FE223D">
        <w:rPr>
          <w:rFonts w:ascii="Sylfaen" w:hAnsi="Sylfaen"/>
          <w:lang w:val="ka-GE"/>
        </w:rPr>
        <w:t xml:space="preserve">. </w:t>
      </w:r>
      <w:r w:rsidR="00814522" w:rsidRPr="00FE223D">
        <w:rPr>
          <w:rFonts w:ascii="Sylfaen" w:hAnsi="Sylfaen"/>
          <w:lang w:val="ka-GE"/>
        </w:rPr>
        <w:t>მომჩივანი</w:t>
      </w:r>
      <w:r w:rsidR="004C2F77" w:rsidRPr="00FE223D">
        <w:rPr>
          <w:rFonts w:ascii="Sylfaen" w:hAnsi="Sylfaen"/>
          <w:lang w:val="ka-GE"/>
        </w:rPr>
        <w:t xml:space="preserve"> მიიჩნევს, რომ დარღვევის თავიდან აცილება შესაძლებელი იქნებოდა, სახელმწიფო მხარეს გონივრული მისადაგების ვალდებულება მხოლოდ დამსაქმებლისთვის რომ არ დაეკისრებინა. სახელმწიფო მხარეს ბიუჯეტიდან უნდა გამოეყო </w:t>
      </w:r>
      <w:r w:rsidR="00814522" w:rsidRPr="00FE223D">
        <w:rPr>
          <w:rFonts w:ascii="Sylfaen" w:hAnsi="Sylfaen"/>
          <w:lang w:val="ka-GE"/>
        </w:rPr>
        <w:t xml:space="preserve">დაფინანსება </w:t>
      </w:r>
      <w:r w:rsidR="004C2F77" w:rsidRPr="00FE223D">
        <w:rPr>
          <w:rFonts w:ascii="Sylfaen" w:hAnsi="Sylfaen"/>
          <w:lang w:val="ka-GE"/>
        </w:rPr>
        <w:t>ან უნდა უზრუნველეყო</w:t>
      </w:r>
      <w:r w:rsidR="00814522" w:rsidRPr="00FE223D">
        <w:rPr>
          <w:rFonts w:ascii="Sylfaen" w:hAnsi="Sylfaen"/>
          <w:lang w:val="ka-GE"/>
        </w:rPr>
        <w:t xml:space="preserve"> ის</w:t>
      </w:r>
      <w:r w:rsidR="00C96032" w:rsidRPr="00FE223D">
        <w:rPr>
          <w:rFonts w:ascii="Sylfaen" w:hAnsi="Sylfaen"/>
          <w:lang w:val="ka-GE"/>
        </w:rPr>
        <w:t xml:space="preserve">, რომ სახელმწიფო უნივერსიტეტებსა და საჯარო დაწესებულებებს საკმარისი ფინანსური შესაძლებლობები და </w:t>
      </w:r>
      <w:r w:rsidR="00814522" w:rsidRPr="00FE223D">
        <w:rPr>
          <w:rFonts w:ascii="Sylfaen" w:hAnsi="Sylfaen"/>
          <w:lang w:val="ka-GE"/>
        </w:rPr>
        <w:t>შეზღუდული შესაძლებლობის მქონე პირების დასაქმებისთვის</w:t>
      </w:r>
      <w:r w:rsidR="00814522" w:rsidRPr="00FE223D">
        <w:rPr>
          <w:rFonts w:ascii="Sylfaen" w:hAnsi="Sylfaen"/>
          <w:lang w:val="ka-GE"/>
        </w:rPr>
        <w:t xml:space="preserve"> საჭირო </w:t>
      </w:r>
      <w:r w:rsidR="00C96032" w:rsidRPr="00FE223D">
        <w:rPr>
          <w:rFonts w:ascii="Sylfaen" w:hAnsi="Sylfaen"/>
          <w:lang w:val="ka-GE"/>
        </w:rPr>
        <w:t xml:space="preserve">გონივრული მისადაგების </w:t>
      </w:r>
      <w:r w:rsidR="00403DC1" w:rsidRPr="00FE223D">
        <w:rPr>
          <w:rFonts w:ascii="Sylfaen" w:hAnsi="Sylfaen"/>
          <w:lang w:val="ka-GE"/>
        </w:rPr>
        <w:t>ღონისძიებების</w:t>
      </w:r>
      <w:r w:rsidR="00C96032" w:rsidRPr="00FE223D">
        <w:rPr>
          <w:rFonts w:ascii="Sylfaen" w:hAnsi="Sylfaen"/>
          <w:lang w:val="ka-GE"/>
        </w:rPr>
        <w:t xml:space="preserve"> ა</w:t>
      </w:r>
      <w:r w:rsidR="00403DC1" w:rsidRPr="00FE223D">
        <w:rPr>
          <w:rFonts w:ascii="Sylfaen" w:hAnsi="Sylfaen"/>
          <w:lang w:val="ka-GE"/>
        </w:rPr>
        <w:t xml:space="preserve">მოქმედების </w:t>
      </w:r>
      <w:r w:rsidR="00403DC1" w:rsidRPr="00FE223D">
        <w:rPr>
          <w:rFonts w:ascii="Sylfaen" w:hAnsi="Sylfaen"/>
          <w:lang w:val="ka-GE"/>
        </w:rPr>
        <w:t>მკაფიო ვალდებულებები ჰქონოდათ</w:t>
      </w:r>
      <w:r w:rsidR="00C96032" w:rsidRPr="00FE223D">
        <w:rPr>
          <w:rFonts w:ascii="Sylfaen" w:hAnsi="Sylfaen"/>
          <w:lang w:val="ka-GE"/>
        </w:rPr>
        <w:t xml:space="preserve">. </w:t>
      </w:r>
      <w:r w:rsidR="00403DC1" w:rsidRPr="00FE223D">
        <w:rPr>
          <w:rFonts w:ascii="Sylfaen" w:hAnsi="Sylfaen"/>
          <w:lang w:val="ka-GE"/>
        </w:rPr>
        <w:t>ამ</w:t>
      </w:r>
      <w:r w:rsidR="00C96032" w:rsidRPr="00FE223D">
        <w:rPr>
          <w:rFonts w:ascii="Sylfaen" w:hAnsi="Sylfaen"/>
          <w:lang w:val="ka-GE"/>
        </w:rPr>
        <w:t xml:space="preserve"> შემთხვევაში, სახელმწიფოსგან გონივრული მისადაგების უზრუნველყოფის მოთხოვნა, რ</w:t>
      </w:r>
      <w:r w:rsidR="006C2EE3" w:rsidRPr="00FE223D">
        <w:rPr>
          <w:rFonts w:ascii="Sylfaen" w:hAnsi="Sylfaen"/>
          <w:lang w:val="ka-GE"/>
        </w:rPr>
        <w:t>ა</w:t>
      </w:r>
      <w:r w:rsidR="00C96032" w:rsidRPr="00FE223D">
        <w:rPr>
          <w:rFonts w:ascii="Sylfaen" w:hAnsi="Sylfaen"/>
          <w:lang w:val="ka-GE"/>
        </w:rPr>
        <w:t xml:space="preserve">ც </w:t>
      </w:r>
      <w:r w:rsidR="00403DC1" w:rsidRPr="00FE223D">
        <w:rPr>
          <w:rFonts w:ascii="Sylfaen" w:hAnsi="Sylfaen"/>
          <w:lang w:val="ka-GE"/>
        </w:rPr>
        <w:t>ავტორის მიერ</w:t>
      </w:r>
      <w:r w:rsidR="006C2EE3" w:rsidRPr="00FE223D">
        <w:rPr>
          <w:rFonts w:ascii="Sylfaen" w:hAnsi="Sylfaen"/>
          <w:lang w:val="ka-GE"/>
        </w:rPr>
        <w:t xml:space="preserve"> ამ თანამდებობის შესაბამისი </w:t>
      </w:r>
      <w:r w:rsidR="00403DC1" w:rsidRPr="00FE223D">
        <w:rPr>
          <w:rFonts w:ascii="Sylfaen" w:hAnsi="Sylfaen"/>
          <w:lang w:val="ka-GE"/>
        </w:rPr>
        <w:t>მოვალეობების</w:t>
      </w:r>
      <w:r w:rsidR="006C2EE3" w:rsidRPr="00FE223D">
        <w:rPr>
          <w:rFonts w:ascii="Sylfaen" w:hAnsi="Sylfaen"/>
          <w:lang w:val="ka-GE"/>
        </w:rPr>
        <w:t xml:space="preserve"> განხორციელებისთვის</w:t>
      </w:r>
      <w:r w:rsidR="00403DC1" w:rsidRPr="00FE223D">
        <w:rPr>
          <w:rFonts w:ascii="Sylfaen" w:hAnsi="Sylfaen"/>
          <w:lang w:val="ka-GE"/>
        </w:rPr>
        <w:t xml:space="preserve"> </w:t>
      </w:r>
      <w:r w:rsidR="00403DC1" w:rsidRPr="00FE223D">
        <w:rPr>
          <w:rFonts w:ascii="Sylfaen" w:hAnsi="Sylfaen"/>
          <w:lang w:val="ka-GE"/>
        </w:rPr>
        <w:t>აუცილებელი იყო</w:t>
      </w:r>
      <w:r w:rsidR="006C2EE3" w:rsidRPr="00FE223D">
        <w:rPr>
          <w:rFonts w:ascii="Sylfaen" w:hAnsi="Sylfaen"/>
          <w:lang w:val="ka-GE"/>
        </w:rPr>
        <w:t>,</w:t>
      </w:r>
      <w:r w:rsidR="00C96032" w:rsidRPr="00FE223D">
        <w:rPr>
          <w:rFonts w:ascii="Sylfaen" w:hAnsi="Sylfaen"/>
          <w:lang w:val="ka-GE"/>
        </w:rPr>
        <w:t xml:space="preserve"> არაპროპორციულ</w:t>
      </w:r>
      <w:r w:rsidR="00403DC1" w:rsidRPr="00FE223D">
        <w:rPr>
          <w:rFonts w:ascii="Sylfaen" w:hAnsi="Sylfaen"/>
          <w:lang w:val="ka-GE"/>
        </w:rPr>
        <w:t>ად</w:t>
      </w:r>
      <w:r w:rsidR="00C96032" w:rsidRPr="00FE223D">
        <w:rPr>
          <w:rFonts w:ascii="Sylfaen" w:hAnsi="Sylfaen"/>
          <w:lang w:val="ka-GE"/>
        </w:rPr>
        <w:t xml:space="preserve"> ან დაუსაბუთებ</w:t>
      </w:r>
      <w:r w:rsidR="00403DC1" w:rsidRPr="00FE223D">
        <w:rPr>
          <w:rFonts w:ascii="Sylfaen" w:hAnsi="Sylfaen"/>
          <w:lang w:val="ka-GE"/>
        </w:rPr>
        <w:t>ლად</w:t>
      </w:r>
      <w:r w:rsidR="00C96032" w:rsidRPr="00FE223D">
        <w:rPr>
          <w:rFonts w:ascii="Sylfaen" w:hAnsi="Sylfaen"/>
          <w:lang w:val="ka-GE"/>
        </w:rPr>
        <w:t xml:space="preserve"> არ </w:t>
      </w:r>
      <w:r w:rsidR="00403DC1" w:rsidRPr="00FE223D">
        <w:rPr>
          <w:rFonts w:ascii="Sylfaen" w:hAnsi="Sylfaen"/>
          <w:lang w:val="ka-GE"/>
        </w:rPr>
        <w:t xml:space="preserve">ჩაითვლებოდა. </w:t>
      </w:r>
      <w:r w:rsidR="00C96032" w:rsidRPr="00FE223D">
        <w:rPr>
          <w:rFonts w:ascii="Sylfaen" w:hAnsi="Sylfaen"/>
          <w:lang w:val="ka-GE"/>
        </w:rPr>
        <w:t xml:space="preserve">  </w:t>
      </w:r>
    </w:p>
    <w:p w14:paraId="3A4BBD6A" w14:textId="45397EDE" w:rsidR="006C2EE3" w:rsidRPr="00FE223D" w:rsidRDefault="00F0037F" w:rsidP="00954286">
      <w:pPr>
        <w:pStyle w:val="SingleTxtG"/>
        <w:rPr>
          <w:rFonts w:ascii="Sylfaen" w:hAnsi="Sylfaen"/>
          <w:lang w:val="ka-GE"/>
        </w:rPr>
      </w:pPr>
      <w:r w:rsidRPr="00FE223D">
        <w:rPr>
          <w:rFonts w:ascii="Sylfaen" w:hAnsi="Sylfaen"/>
          <w:lang w:val="en-US"/>
        </w:rPr>
        <w:t>3.2</w:t>
      </w:r>
      <w:r w:rsidRPr="00FE223D">
        <w:rPr>
          <w:rFonts w:ascii="Sylfaen" w:hAnsi="Sylfaen"/>
          <w:lang w:val="en-US"/>
        </w:rPr>
        <w:tab/>
      </w:r>
      <w:r w:rsidR="006C2EE3" w:rsidRPr="00FE223D">
        <w:rPr>
          <w:rFonts w:ascii="Sylfaen" w:hAnsi="Sylfaen"/>
          <w:lang w:val="ka-GE"/>
        </w:rPr>
        <w:t xml:space="preserve">ავტორი ასევე </w:t>
      </w:r>
      <w:r w:rsidR="00276206" w:rsidRPr="00FE223D">
        <w:rPr>
          <w:rFonts w:ascii="Sylfaen" w:hAnsi="Sylfaen"/>
          <w:lang w:val="ka-GE"/>
        </w:rPr>
        <w:t>ამტკიცებს</w:t>
      </w:r>
      <w:r w:rsidR="006C2EE3" w:rsidRPr="00FE223D">
        <w:rPr>
          <w:rFonts w:ascii="Sylfaen" w:hAnsi="Sylfaen"/>
          <w:lang w:val="ka-GE"/>
        </w:rPr>
        <w:t xml:space="preserve">, რომ სახელმწიფო მხარემ </w:t>
      </w:r>
      <w:r w:rsidR="00714DF3" w:rsidRPr="00FE223D">
        <w:rPr>
          <w:rFonts w:ascii="Sylfaen" w:hAnsi="Sylfaen"/>
          <w:lang w:val="ka-GE"/>
        </w:rPr>
        <w:t>სახელმწიფო</w:t>
      </w:r>
      <w:r w:rsidR="006C2EE3" w:rsidRPr="00FE223D">
        <w:rPr>
          <w:rFonts w:ascii="Sylfaen" w:hAnsi="Sylfaen"/>
          <w:lang w:val="ka-GE"/>
        </w:rPr>
        <w:t xml:space="preserve"> დისკრეციის ზღვარს</w:t>
      </w:r>
      <w:r w:rsidR="00403DC1" w:rsidRPr="00FE223D">
        <w:rPr>
          <w:rFonts w:ascii="Sylfaen" w:hAnsi="Sylfaen"/>
          <w:lang w:val="ka-GE"/>
        </w:rPr>
        <w:t xml:space="preserve"> </w:t>
      </w:r>
      <w:r w:rsidR="00403DC1" w:rsidRPr="00FE223D">
        <w:rPr>
          <w:rFonts w:ascii="Sylfaen" w:hAnsi="Sylfaen"/>
          <w:lang w:val="ka-GE"/>
        </w:rPr>
        <w:t>გადააჭარბა</w:t>
      </w:r>
      <w:r w:rsidR="006C2EE3" w:rsidRPr="00FE223D">
        <w:rPr>
          <w:rFonts w:ascii="Sylfaen" w:hAnsi="Sylfaen"/>
          <w:lang w:val="ka-GE"/>
        </w:rPr>
        <w:t xml:space="preserve">, </w:t>
      </w:r>
      <w:r w:rsidR="00714DF3" w:rsidRPr="00FE223D">
        <w:rPr>
          <w:rFonts w:ascii="Sylfaen" w:hAnsi="Sylfaen"/>
          <w:lang w:val="ka-GE"/>
        </w:rPr>
        <w:t>რადგან ადგილობრივი კანონმდებლობის ინტერპრეტაციისას</w:t>
      </w:r>
      <w:r w:rsidR="00403DC1" w:rsidRPr="00FE223D">
        <w:rPr>
          <w:rFonts w:ascii="Sylfaen" w:hAnsi="Sylfaen"/>
          <w:lang w:val="ka-GE"/>
        </w:rPr>
        <w:t xml:space="preserve"> </w:t>
      </w:r>
      <w:r w:rsidR="00403DC1" w:rsidRPr="00FE223D">
        <w:rPr>
          <w:rFonts w:ascii="Sylfaen" w:hAnsi="Sylfaen"/>
          <w:lang w:val="ka-GE"/>
        </w:rPr>
        <w:t>კონვენციის სტანდარტებს</w:t>
      </w:r>
      <w:r w:rsidR="00403DC1" w:rsidRPr="00FE223D">
        <w:rPr>
          <w:rFonts w:ascii="Sylfaen" w:hAnsi="Sylfaen"/>
          <w:lang w:val="ka-GE"/>
        </w:rPr>
        <w:t xml:space="preserve"> არ იცავდა</w:t>
      </w:r>
      <w:r w:rsidR="00714DF3" w:rsidRPr="00FE223D">
        <w:rPr>
          <w:rFonts w:ascii="Sylfaen" w:hAnsi="Sylfaen"/>
          <w:lang w:val="ka-GE"/>
        </w:rPr>
        <w:t>:</w:t>
      </w:r>
      <w:r w:rsidR="00403DC1" w:rsidRPr="00FE223D">
        <w:rPr>
          <w:rFonts w:ascii="Sylfaen" w:hAnsi="Sylfaen"/>
          <w:lang w:val="ka-GE"/>
        </w:rPr>
        <w:t xml:space="preserve"> მაგალითად,</w:t>
      </w:r>
      <w:r w:rsidR="00714DF3" w:rsidRPr="00FE223D">
        <w:rPr>
          <w:rFonts w:ascii="Sylfaen" w:hAnsi="Sylfaen"/>
          <w:lang w:val="ka-GE"/>
        </w:rPr>
        <w:t xml:space="preserve"> შრომის სასამართლოს გადაწყვეტილება არ აკმაყოფილებს კომიტეტის მე-9 მუხლის მე-2 ზოგადი კომენტარის მოთხოვნებს, რომლის მიხედვითაც „შეზღუდული შესაძლებლობის მქონე პირი </w:t>
      </w:r>
      <w:r w:rsidR="00276206" w:rsidRPr="00FE223D">
        <w:rPr>
          <w:rFonts w:ascii="Sylfaen" w:hAnsi="Sylfaen"/>
          <w:lang w:val="ka-GE"/>
        </w:rPr>
        <w:t xml:space="preserve">ეფექტურად </w:t>
      </w:r>
      <w:r w:rsidR="00714DF3" w:rsidRPr="00FE223D">
        <w:rPr>
          <w:rFonts w:ascii="Sylfaen" w:hAnsi="Sylfaen"/>
          <w:lang w:val="ka-GE"/>
        </w:rPr>
        <w:t xml:space="preserve">ვერ ისარგებლებს </w:t>
      </w:r>
      <w:r w:rsidR="00276206" w:rsidRPr="00FE223D">
        <w:rPr>
          <w:rFonts w:ascii="Sylfaen" w:hAnsi="Sylfaen"/>
          <w:lang w:val="ka-GE"/>
        </w:rPr>
        <w:t>საკუთარი დასაქმებისა და შრომის უფლებებით, როგორც ეს აღწერილია კონვენციის 27-ე მუხლში, თუ თავად სამუშაო ადგილი არაა ხელმისაწვდომი. ამიტომ, დასაქმება ხელმისაწვდომი</w:t>
      </w:r>
      <w:r w:rsidR="00403DC1" w:rsidRPr="00FE223D">
        <w:rPr>
          <w:rFonts w:ascii="Sylfaen" w:hAnsi="Sylfaen"/>
          <w:lang w:val="ka-GE"/>
        </w:rPr>
        <w:t xml:space="preserve"> </w:t>
      </w:r>
      <w:r w:rsidR="00403DC1" w:rsidRPr="00FE223D">
        <w:rPr>
          <w:rFonts w:ascii="Sylfaen" w:hAnsi="Sylfaen"/>
          <w:lang w:val="ka-GE"/>
        </w:rPr>
        <w:t>უნდა იყოს</w:t>
      </w:r>
      <w:r w:rsidR="00276206" w:rsidRPr="00FE223D">
        <w:rPr>
          <w:rFonts w:ascii="Sylfaen" w:hAnsi="Sylfaen"/>
          <w:lang w:val="ka-GE"/>
        </w:rPr>
        <w:t>, როგორც ეს პირდაპირაა მითითებული მე-9 მუხლის პუნქტში 1 (</w:t>
      </w:r>
      <w:r w:rsidR="00276206" w:rsidRPr="00FE223D">
        <w:rPr>
          <w:rFonts w:ascii="Sylfaen" w:hAnsi="Sylfaen"/>
          <w:lang w:val="en-US"/>
        </w:rPr>
        <w:t xml:space="preserve">a). </w:t>
      </w:r>
      <w:r w:rsidR="00276206" w:rsidRPr="00FE223D">
        <w:rPr>
          <w:rFonts w:ascii="Sylfaen" w:hAnsi="Sylfaen"/>
          <w:lang w:val="ka-GE"/>
        </w:rPr>
        <w:t>სამუშაო ადგილის ადაპტირებაზე უარის თქმა შეზღუდულ შესაძლებლობაზე დაფუძნებული დისკრიმინაციული ქმედებაა. [...].“</w:t>
      </w:r>
    </w:p>
    <w:p w14:paraId="5A7707E4" w14:textId="26E6B300" w:rsidR="00276206" w:rsidRPr="00FE223D" w:rsidRDefault="00F0037F" w:rsidP="00954286">
      <w:pPr>
        <w:pStyle w:val="SingleTxtG"/>
        <w:rPr>
          <w:rFonts w:ascii="Sylfaen" w:hAnsi="Sylfaen"/>
          <w:lang w:val="ka-GE"/>
        </w:rPr>
      </w:pPr>
      <w:r w:rsidRPr="00FE223D">
        <w:rPr>
          <w:rFonts w:ascii="Sylfaen" w:hAnsi="Sylfaen"/>
          <w:lang w:val="en-US"/>
        </w:rPr>
        <w:t>3.3</w:t>
      </w:r>
      <w:r w:rsidRPr="00FE223D">
        <w:rPr>
          <w:rFonts w:ascii="Sylfaen" w:hAnsi="Sylfaen"/>
          <w:lang w:val="en-US"/>
        </w:rPr>
        <w:tab/>
      </w:r>
      <w:r w:rsidR="00276206" w:rsidRPr="00FE223D">
        <w:rPr>
          <w:rFonts w:ascii="Sylfaen" w:hAnsi="Sylfaen"/>
          <w:lang w:val="ka-GE"/>
        </w:rPr>
        <w:t xml:space="preserve">ავტორი ასევე ამტკიცებს, რომ სახელმწიფო მხარემ ვერ დაიცვა მისი </w:t>
      </w:r>
      <w:r w:rsidR="00392CFC" w:rsidRPr="00FE223D">
        <w:rPr>
          <w:rFonts w:ascii="Sylfaen" w:hAnsi="Sylfaen"/>
          <w:lang w:val="ka-GE"/>
        </w:rPr>
        <w:t xml:space="preserve">კონვენციის მე-4 (2) მუხლით გაწერილი </w:t>
      </w:r>
      <w:r w:rsidR="00276206" w:rsidRPr="00FE223D">
        <w:rPr>
          <w:rFonts w:ascii="Sylfaen" w:hAnsi="Sylfaen"/>
          <w:lang w:val="ka-GE"/>
        </w:rPr>
        <w:t>უფლება</w:t>
      </w:r>
      <w:r w:rsidR="00392CFC" w:rsidRPr="00FE223D">
        <w:rPr>
          <w:rFonts w:ascii="Sylfaen" w:hAnsi="Sylfaen"/>
          <w:lang w:val="ka-GE"/>
        </w:rPr>
        <w:t>: სახელმწიფო მხარესაც და ს</w:t>
      </w:r>
      <w:r w:rsidR="001152CA" w:rsidRPr="00FE223D">
        <w:rPr>
          <w:rFonts w:ascii="Sylfaen" w:hAnsi="Sylfaen"/>
          <w:lang w:val="ka-GE"/>
        </w:rPr>
        <w:t>ო</w:t>
      </w:r>
      <w:r w:rsidR="00392CFC" w:rsidRPr="00FE223D">
        <w:rPr>
          <w:rFonts w:ascii="Sylfaen" w:hAnsi="Sylfaen"/>
          <w:lang w:val="ka-GE"/>
        </w:rPr>
        <w:t>დერტ</w:t>
      </w:r>
      <w:r w:rsidR="001152CA" w:rsidRPr="00FE223D">
        <w:rPr>
          <w:rFonts w:ascii="Sylfaen" w:hAnsi="Sylfaen"/>
          <w:lang w:val="ka-GE"/>
        </w:rPr>
        <w:t>ო</w:t>
      </w:r>
      <w:r w:rsidR="00392CFC" w:rsidRPr="00FE223D">
        <w:rPr>
          <w:rFonts w:ascii="Sylfaen" w:hAnsi="Sylfaen"/>
          <w:lang w:val="ka-GE"/>
        </w:rPr>
        <w:t>რნის უნივერსიტეტსაც 2016 ფისკალური წლისთვის ბიუჯეტის ნამატი ჰქონდათ</w:t>
      </w:r>
      <w:r w:rsidR="00392CFC" w:rsidRPr="00FE223D">
        <w:rPr>
          <w:rStyle w:val="FootnoteReference"/>
          <w:rFonts w:ascii="Sylfaen" w:hAnsi="Sylfaen"/>
        </w:rPr>
        <w:footnoteReference w:id="6"/>
      </w:r>
      <w:r w:rsidR="00392CFC" w:rsidRPr="00FE223D">
        <w:rPr>
          <w:rFonts w:ascii="Sylfaen" w:hAnsi="Sylfaen"/>
        </w:rPr>
        <w:t xml:space="preserve"> </w:t>
      </w:r>
      <w:r w:rsidR="00392CFC" w:rsidRPr="00FE223D">
        <w:rPr>
          <w:rFonts w:ascii="Sylfaen" w:hAnsi="Sylfaen"/>
          <w:lang w:val="ka-GE"/>
        </w:rPr>
        <w:t xml:space="preserve">და შესაბამისად, ჟესტური </w:t>
      </w:r>
      <w:r w:rsidR="000E59B2" w:rsidRPr="00FE223D">
        <w:rPr>
          <w:rFonts w:ascii="Sylfaen" w:hAnsi="Sylfaen"/>
          <w:lang w:val="ka-GE"/>
        </w:rPr>
        <w:t>თარჯიმნი</w:t>
      </w:r>
      <w:r w:rsidR="00392CFC" w:rsidRPr="00FE223D">
        <w:rPr>
          <w:rFonts w:ascii="Sylfaen" w:hAnsi="Sylfaen"/>
          <w:lang w:val="ka-GE"/>
        </w:rPr>
        <w:t>ს ხარჯების ანაზღაურების მოთხოვნა უსაფუძვლო არ იყო. სახელმწიფო დისკრეციის ზღვარი არ ვრცელდება ქცევაზე, რომელიც ინდივიდუალ</w:t>
      </w:r>
      <w:r w:rsidR="00A91940" w:rsidRPr="00FE223D">
        <w:rPr>
          <w:rFonts w:ascii="Sylfaen" w:hAnsi="Sylfaen"/>
          <w:lang w:val="ka-GE"/>
        </w:rPr>
        <w:t xml:space="preserve">ურ უფლებებს უგულებელყოფს, სანამ სახელმწიფო არ დაამტკიცებს, რომ ბიუჯეტის ნამატი სხვა, უფრო აქტუალური </w:t>
      </w:r>
      <w:r w:rsidR="00A91940" w:rsidRPr="00FE223D">
        <w:rPr>
          <w:rFonts w:ascii="Sylfaen" w:hAnsi="Sylfaen"/>
          <w:lang w:val="ka-GE"/>
        </w:rPr>
        <w:lastRenderedPageBreak/>
        <w:t>სოციალური საჭიროებ</w:t>
      </w:r>
      <w:r w:rsidR="005C5A1D" w:rsidRPr="00FE223D">
        <w:rPr>
          <w:rFonts w:ascii="Sylfaen" w:hAnsi="Sylfaen"/>
          <w:lang w:val="ka-GE"/>
        </w:rPr>
        <w:t>ებ</w:t>
      </w:r>
      <w:r w:rsidR="00A91940" w:rsidRPr="00FE223D">
        <w:rPr>
          <w:rFonts w:ascii="Sylfaen" w:hAnsi="Sylfaen"/>
          <w:lang w:val="ka-GE"/>
        </w:rPr>
        <w:t>ისთვის</w:t>
      </w:r>
      <w:r w:rsidR="005C5A1D" w:rsidRPr="00FE223D">
        <w:rPr>
          <w:rFonts w:ascii="Sylfaen" w:hAnsi="Sylfaen"/>
          <w:lang w:val="ka-GE"/>
        </w:rPr>
        <w:t xml:space="preserve"> გამოიყენა</w:t>
      </w:r>
      <w:r w:rsidR="00A91940" w:rsidRPr="00FE223D">
        <w:rPr>
          <w:rFonts w:ascii="Sylfaen" w:hAnsi="Sylfaen"/>
          <w:lang w:val="ka-GE"/>
        </w:rPr>
        <w:t>, რომ</w:t>
      </w:r>
      <w:r w:rsidR="005C5A1D" w:rsidRPr="00FE223D">
        <w:rPr>
          <w:rFonts w:ascii="Sylfaen" w:hAnsi="Sylfaen"/>
          <w:lang w:val="ka-GE"/>
        </w:rPr>
        <w:t>ლებიც დაკავშირებულია</w:t>
      </w:r>
      <w:r w:rsidR="00A91940" w:rsidRPr="00FE223D">
        <w:rPr>
          <w:rFonts w:ascii="Sylfaen" w:hAnsi="Sylfaen"/>
          <w:lang w:val="ka-GE"/>
        </w:rPr>
        <w:t xml:space="preserve"> კონვენციით ნაკისრ ვალდებულებებთან.</w:t>
      </w:r>
    </w:p>
    <w:p w14:paraId="3ED22129" w14:textId="404FD11F" w:rsidR="00B838DE" w:rsidRPr="00FE223D" w:rsidRDefault="00F0037F" w:rsidP="00954286">
      <w:pPr>
        <w:pStyle w:val="SingleTxtG"/>
        <w:rPr>
          <w:rFonts w:ascii="Sylfaen" w:hAnsi="Sylfaen"/>
          <w:lang w:val="ka-GE"/>
        </w:rPr>
      </w:pPr>
      <w:r w:rsidRPr="00FE223D">
        <w:rPr>
          <w:rFonts w:ascii="Sylfaen" w:hAnsi="Sylfaen"/>
        </w:rPr>
        <w:t>3.4</w:t>
      </w:r>
      <w:r w:rsidRPr="00FE223D">
        <w:rPr>
          <w:rFonts w:ascii="Sylfaen" w:hAnsi="Sylfaen"/>
        </w:rPr>
        <w:tab/>
      </w:r>
      <w:r w:rsidR="00B838DE" w:rsidRPr="00FE223D">
        <w:rPr>
          <w:rFonts w:ascii="Sylfaen" w:hAnsi="Sylfaen"/>
          <w:lang w:val="ka-GE"/>
        </w:rPr>
        <w:t xml:space="preserve">ავტორი ასევე ამტკიცებს, რომ უნივერსიტეტმა ვერ შეაფასა, შეიძლებოდა თუ არა გონივრული მისადაგების სხვა </w:t>
      </w:r>
      <w:r w:rsidR="001A7ED7" w:rsidRPr="00FE223D">
        <w:rPr>
          <w:rFonts w:ascii="Sylfaen" w:hAnsi="Sylfaen"/>
          <w:lang w:val="ka-GE"/>
        </w:rPr>
        <w:t>ზომების მიღება იმ თანამდებობის შესაბამისი ფუნქციების შესრულებისთვის, რომელზე განაცხადიც შეიტანა. ს</w:t>
      </w:r>
      <w:r w:rsidR="001152CA" w:rsidRPr="00FE223D">
        <w:rPr>
          <w:rFonts w:ascii="Sylfaen" w:hAnsi="Sylfaen"/>
          <w:lang w:val="ka-GE"/>
        </w:rPr>
        <w:t>ო</w:t>
      </w:r>
      <w:r w:rsidR="001A7ED7" w:rsidRPr="00FE223D">
        <w:rPr>
          <w:rFonts w:ascii="Sylfaen" w:hAnsi="Sylfaen"/>
          <w:lang w:val="ka-GE"/>
        </w:rPr>
        <w:t>დერტ</w:t>
      </w:r>
      <w:r w:rsidR="001152CA" w:rsidRPr="00FE223D">
        <w:rPr>
          <w:rFonts w:ascii="Sylfaen" w:hAnsi="Sylfaen"/>
          <w:lang w:val="ka-GE"/>
        </w:rPr>
        <w:t>ო</w:t>
      </w:r>
      <w:r w:rsidR="001A7ED7" w:rsidRPr="00FE223D">
        <w:rPr>
          <w:rFonts w:ascii="Sylfaen" w:hAnsi="Sylfaen"/>
          <w:lang w:val="ka-GE"/>
        </w:rPr>
        <w:t xml:space="preserve">რნის უნივერსიტეტმა, მას შემდეგ, რაც გადაწყვიტა, რომ </w:t>
      </w:r>
      <w:r w:rsidR="000E59B2" w:rsidRPr="00FE223D">
        <w:rPr>
          <w:rFonts w:ascii="Sylfaen" w:hAnsi="Sylfaen"/>
          <w:lang w:val="ka-GE"/>
        </w:rPr>
        <w:t>თარჯი</w:t>
      </w:r>
      <w:r w:rsidR="001A7ED7" w:rsidRPr="00FE223D">
        <w:rPr>
          <w:rFonts w:ascii="Sylfaen" w:hAnsi="Sylfaen"/>
          <w:lang w:val="ka-GE"/>
        </w:rPr>
        <w:t xml:space="preserve">მნის ხარჯების ღირებულება ზედმეტად მაღალი იყო, არ გააანალიზა ის, </w:t>
      </w:r>
      <w:r w:rsidR="005C5A1D" w:rsidRPr="00FE223D">
        <w:rPr>
          <w:rFonts w:ascii="Sylfaen" w:hAnsi="Sylfaen"/>
          <w:lang w:val="ka-GE"/>
        </w:rPr>
        <w:t xml:space="preserve">თუ </w:t>
      </w:r>
      <w:r w:rsidR="001A7ED7" w:rsidRPr="00FE223D">
        <w:rPr>
          <w:rFonts w:ascii="Sylfaen" w:hAnsi="Sylfaen"/>
          <w:lang w:val="ka-GE"/>
        </w:rPr>
        <w:t>რამდენად შესაძლებელი იქნებოდა ავტორისთვის ალტერნატიული სამუშაო ვალდებულებები</w:t>
      </w:r>
      <w:r w:rsidR="005C5A1D" w:rsidRPr="00FE223D">
        <w:rPr>
          <w:rFonts w:ascii="Sylfaen" w:hAnsi="Sylfaen"/>
          <w:lang w:val="ka-GE"/>
        </w:rPr>
        <w:t>ს დაკისრება</w:t>
      </w:r>
      <w:r w:rsidR="001A7ED7" w:rsidRPr="00FE223D">
        <w:rPr>
          <w:rFonts w:ascii="Sylfaen" w:hAnsi="Sylfaen"/>
          <w:lang w:val="ka-GE"/>
        </w:rPr>
        <w:t xml:space="preserve">, რომლებიც ჟესტური ენის </w:t>
      </w:r>
      <w:r w:rsidR="000E59B2" w:rsidRPr="00FE223D">
        <w:rPr>
          <w:rFonts w:ascii="Sylfaen" w:hAnsi="Sylfaen"/>
          <w:lang w:val="ka-GE"/>
        </w:rPr>
        <w:t>თარჯიმანს</w:t>
      </w:r>
      <w:r w:rsidR="005C5A1D" w:rsidRPr="00FE223D">
        <w:rPr>
          <w:rFonts w:ascii="Sylfaen" w:hAnsi="Sylfaen"/>
          <w:lang w:val="ka-GE"/>
        </w:rPr>
        <w:t xml:space="preserve"> საერთოდ </w:t>
      </w:r>
      <w:r w:rsidR="005C5A1D" w:rsidRPr="00FE223D">
        <w:rPr>
          <w:rFonts w:ascii="Sylfaen" w:hAnsi="Sylfaen"/>
          <w:lang w:val="ka-GE"/>
        </w:rPr>
        <w:t>არ მოითხოვდნენ</w:t>
      </w:r>
      <w:r w:rsidR="005C5A1D" w:rsidRPr="00FE223D">
        <w:rPr>
          <w:rFonts w:ascii="Sylfaen" w:hAnsi="Sylfaen"/>
          <w:lang w:val="ka-GE"/>
        </w:rPr>
        <w:t xml:space="preserve">; </w:t>
      </w:r>
      <w:r w:rsidR="001A7ED7" w:rsidRPr="00FE223D">
        <w:rPr>
          <w:rFonts w:ascii="Sylfaen" w:hAnsi="Sylfaen"/>
          <w:lang w:val="ka-GE"/>
        </w:rPr>
        <w:t xml:space="preserve">ასეთები იქნებოდა სტუდენტების ხელმძღვანელობა, მათი </w:t>
      </w:r>
      <w:r w:rsidR="00AE00A0" w:rsidRPr="00FE223D">
        <w:rPr>
          <w:rFonts w:ascii="Sylfaen" w:hAnsi="Sylfaen"/>
          <w:lang w:val="ka-GE"/>
        </w:rPr>
        <w:t>შრომის ინტენსივობის შემოწმება დ</w:t>
      </w:r>
      <w:r w:rsidR="005C5A1D" w:rsidRPr="00FE223D">
        <w:rPr>
          <w:rFonts w:ascii="Sylfaen" w:hAnsi="Sylfaen"/>
          <w:lang w:val="ka-GE"/>
        </w:rPr>
        <w:t>ა</w:t>
      </w:r>
      <w:r w:rsidR="00AE00A0" w:rsidRPr="00FE223D">
        <w:rPr>
          <w:rFonts w:ascii="Sylfaen" w:hAnsi="Sylfaen"/>
          <w:lang w:val="ka-GE"/>
        </w:rPr>
        <w:t xml:space="preserve"> </w:t>
      </w:r>
      <w:r w:rsidR="005C5A1D" w:rsidRPr="00FE223D">
        <w:rPr>
          <w:rFonts w:ascii="Sylfaen" w:hAnsi="Sylfaen"/>
          <w:lang w:val="ka-GE"/>
        </w:rPr>
        <w:t>სტუდენტებთან დაკავშირებული</w:t>
      </w:r>
      <w:r w:rsidR="00AE00A0" w:rsidRPr="00FE223D">
        <w:rPr>
          <w:rFonts w:ascii="Sylfaen" w:hAnsi="Sylfaen"/>
          <w:lang w:val="ka-GE"/>
        </w:rPr>
        <w:t xml:space="preserve"> საკითხების ადმინისტრირება, მათ შორის, ონლაინ ჩ</w:t>
      </w:r>
      <w:r w:rsidR="000743DA" w:rsidRPr="00FE223D">
        <w:rPr>
          <w:rFonts w:ascii="Sylfaen" w:hAnsi="Sylfaen"/>
          <w:lang w:val="ka-GE"/>
        </w:rPr>
        <w:t>ატ</w:t>
      </w:r>
      <w:r w:rsidR="00AE00A0" w:rsidRPr="00FE223D">
        <w:rPr>
          <w:rFonts w:ascii="Sylfaen" w:hAnsi="Sylfaen"/>
          <w:lang w:val="ka-GE"/>
        </w:rPr>
        <w:t xml:space="preserve">ის </w:t>
      </w:r>
      <w:r w:rsidR="005C5A1D" w:rsidRPr="00FE223D">
        <w:rPr>
          <w:rFonts w:ascii="Sylfaen" w:hAnsi="Sylfaen"/>
          <w:lang w:val="ka-GE"/>
        </w:rPr>
        <w:t>მეშვეობით</w:t>
      </w:r>
      <w:r w:rsidR="00AE00A0" w:rsidRPr="00FE223D">
        <w:rPr>
          <w:rFonts w:ascii="Sylfaen" w:hAnsi="Sylfaen"/>
          <w:lang w:val="ka-GE"/>
        </w:rPr>
        <w:t xml:space="preserve">. თუ მისი სამუშაო ვალდებულებები ამგვარად </w:t>
      </w:r>
      <w:r w:rsidR="005C5A1D" w:rsidRPr="00FE223D">
        <w:rPr>
          <w:rFonts w:ascii="Sylfaen" w:hAnsi="Sylfaen"/>
          <w:lang w:val="ka-GE"/>
        </w:rPr>
        <w:t>მოდიფიცირდებოდა</w:t>
      </w:r>
      <w:r w:rsidR="00AE00A0" w:rsidRPr="00FE223D">
        <w:rPr>
          <w:rFonts w:ascii="Sylfaen" w:hAnsi="Sylfaen"/>
          <w:lang w:val="ka-GE"/>
        </w:rPr>
        <w:t xml:space="preserve">, </w:t>
      </w:r>
      <w:r w:rsidR="005C5A1D" w:rsidRPr="00FE223D">
        <w:rPr>
          <w:rFonts w:ascii="Sylfaen" w:hAnsi="Sylfaen"/>
          <w:lang w:val="ka-GE"/>
        </w:rPr>
        <w:t xml:space="preserve">ხარჯების </w:t>
      </w:r>
      <w:r w:rsidR="00AE00A0" w:rsidRPr="00FE223D">
        <w:rPr>
          <w:rFonts w:ascii="Sylfaen" w:hAnsi="Sylfaen"/>
          <w:lang w:val="ka-GE"/>
        </w:rPr>
        <w:t>საერთო ღირებულება საგრძნობლად ნაკლები იქნებოდა იმასთან შედარებით, რა თანხაზეც ს</w:t>
      </w:r>
      <w:r w:rsidR="001152CA" w:rsidRPr="00FE223D">
        <w:rPr>
          <w:rFonts w:ascii="Sylfaen" w:hAnsi="Sylfaen"/>
          <w:lang w:val="ka-GE"/>
        </w:rPr>
        <w:t>ო</w:t>
      </w:r>
      <w:r w:rsidR="00AE00A0" w:rsidRPr="00FE223D">
        <w:rPr>
          <w:rFonts w:ascii="Sylfaen" w:hAnsi="Sylfaen"/>
          <w:lang w:val="ka-GE"/>
        </w:rPr>
        <w:t>დერტ</w:t>
      </w:r>
      <w:r w:rsidR="001152CA" w:rsidRPr="00FE223D">
        <w:rPr>
          <w:rFonts w:ascii="Sylfaen" w:hAnsi="Sylfaen"/>
          <w:lang w:val="ka-GE"/>
        </w:rPr>
        <w:t>ო</w:t>
      </w:r>
      <w:r w:rsidR="00AE00A0" w:rsidRPr="00FE223D">
        <w:rPr>
          <w:rFonts w:ascii="Sylfaen" w:hAnsi="Sylfaen"/>
          <w:lang w:val="ka-GE"/>
        </w:rPr>
        <w:t xml:space="preserve">რნის უნივერსიტეტი საუბრობდა. უხეში გამოთვლებით, </w:t>
      </w:r>
      <w:r w:rsidR="00482AF8" w:rsidRPr="00FE223D">
        <w:rPr>
          <w:rFonts w:ascii="Sylfaen" w:hAnsi="Sylfaen"/>
          <w:lang w:val="ka-GE"/>
        </w:rPr>
        <w:t>ეს წლიურად 100</w:t>
      </w:r>
      <w:r w:rsidR="005C5A1D" w:rsidRPr="00FE223D">
        <w:rPr>
          <w:rFonts w:ascii="Sylfaen" w:hAnsi="Sylfaen"/>
          <w:lang w:val="ka-GE"/>
        </w:rPr>
        <w:t xml:space="preserve"> </w:t>
      </w:r>
      <w:r w:rsidR="00482AF8" w:rsidRPr="00FE223D">
        <w:rPr>
          <w:rFonts w:ascii="Sylfaen" w:hAnsi="Sylfaen"/>
          <w:lang w:val="ka-GE"/>
        </w:rPr>
        <w:t>000 შვედურ კრონას (</w:t>
      </w:r>
      <w:r w:rsidR="00482AF8" w:rsidRPr="00FE223D">
        <w:rPr>
          <w:rFonts w:ascii="Sylfaen" w:hAnsi="Sylfaen"/>
          <w:lang w:val="en-US"/>
        </w:rPr>
        <w:t>SEK)</w:t>
      </w:r>
      <w:r w:rsidR="00482AF8" w:rsidRPr="00FE223D">
        <w:rPr>
          <w:rStyle w:val="FootnoteReference"/>
          <w:rFonts w:ascii="Sylfaen" w:hAnsi="Sylfaen"/>
        </w:rPr>
        <w:footnoteReference w:id="7"/>
      </w:r>
      <w:r w:rsidR="00482AF8" w:rsidRPr="00FE223D">
        <w:rPr>
          <w:rFonts w:ascii="Sylfaen" w:hAnsi="Sylfaen"/>
          <w:lang w:val="en-US"/>
        </w:rPr>
        <w:t xml:space="preserve"> </w:t>
      </w:r>
      <w:r w:rsidR="00482AF8" w:rsidRPr="00FE223D">
        <w:rPr>
          <w:rFonts w:ascii="Sylfaen" w:hAnsi="Sylfaen"/>
          <w:lang w:val="ka-GE"/>
        </w:rPr>
        <w:t>მიაღწევდა</w:t>
      </w:r>
      <w:r w:rsidR="00482AF8" w:rsidRPr="00FE223D">
        <w:rPr>
          <w:rFonts w:ascii="Sylfaen" w:hAnsi="Sylfaen"/>
          <w:lang w:val="en-US"/>
        </w:rPr>
        <w:t xml:space="preserve">. </w:t>
      </w:r>
      <w:r w:rsidR="00482AF8" w:rsidRPr="00FE223D">
        <w:rPr>
          <w:rFonts w:ascii="Sylfaen" w:hAnsi="Sylfaen"/>
          <w:lang w:val="ka-GE"/>
        </w:rPr>
        <w:t>სახელმწიფო მხარემ ვერ წარმოადგინა საკმარისი მტკიცებულება ან ანალიზი იმ დასკვნის დასადასტურებლად, რომ გონივრული მისადაგების ყველა გზა, მათ შორის, ალტერნატიული სამუშაო ვალდებულებები,</w:t>
      </w:r>
      <w:r w:rsidR="005C5A1D" w:rsidRPr="00FE223D">
        <w:rPr>
          <w:rFonts w:ascii="Sylfaen" w:hAnsi="Sylfaen"/>
          <w:lang w:val="ka-GE"/>
        </w:rPr>
        <w:t xml:space="preserve"> მისთვის</w:t>
      </w:r>
      <w:r w:rsidR="00482AF8" w:rsidRPr="00FE223D">
        <w:rPr>
          <w:rFonts w:ascii="Sylfaen" w:hAnsi="Sylfaen"/>
          <w:lang w:val="ka-GE"/>
        </w:rPr>
        <w:t xml:space="preserve"> არასათანადო ტვირთი იქნებოდა.</w:t>
      </w:r>
    </w:p>
    <w:p w14:paraId="3C09E0D6" w14:textId="078DACF1" w:rsidR="00482AF8" w:rsidRPr="00FE223D" w:rsidRDefault="00F0037F" w:rsidP="00954286">
      <w:pPr>
        <w:pStyle w:val="SingleTxtG"/>
        <w:rPr>
          <w:rFonts w:ascii="Sylfaen" w:hAnsi="Sylfaen"/>
          <w:lang w:val="ka-GE"/>
        </w:rPr>
      </w:pPr>
      <w:r w:rsidRPr="00FE223D">
        <w:rPr>
          <w:rFonts w:ascii="Sylfaen" w:hAnsi="Sylfaen"/>
        </w:rPr>
        <w:t>3.5</w:t>
      </w:r>
      <w:r w:rsidRPr="00FE223D">
        <w:rPr>
          <w:rFonts w:ascii="Sylfaen" w:hAnsi="Sylfaen"/>
        </w:rPr>
        <w:tab/>
      </w:r>
      <w:r w:rsidR="00482AF8" w:rsidRPr="00FE223D">
        <w:rPr>
          <w:rFonts w:ascii="Sylfaen" w:hAnsi="Sylfaen"/>
          <w:lang w:val="ka-GE"/>
        </w:rPr>
        <w:t>ავტორი</w:t>
      </w:r>
      <w:r w:rsidR="00B36233" w:rsidRPr="00FE223D">
        <w:rPr>
          <w:rFonts w:ascii="Sylfaen" w:hAnsi="Sylfaen"/>
          <w:lang w:val="ka-GE"/>
        </w:rPr>
        <w:t xml:space="preserve"> მიიჩნევს, რომ გონივრული მისადაგების მოთხოვნილი </w:t>
      </w:r>
      <w:r w:rsidR="009370A7" w:rsidRPr="00FE223D">
        <w:rPr>
          <w:rFonts w:ascii="Sylfaen" w:hAnsi="Sylfaen"/>
          <w:lang w:val="ka-GE"/>
        </w:rPr>
        <w:t>ღონისძიებების</w:t>
      </w:r>
      <w:r w:rsidR="00B36233" w:rsidRPr="00FE223D">
        <w:rPr>
          <w:rFonts w:ascii="Sylfaen" w:hAnsi="Sylfaen"/>
          <w:lang w:val="ka-GE"/>
        </w:rPr>
        <w:t xml:space="preserve"> შეფასებისას, სახელმწიფო მხარემ ვერ გაითვალისწინა მისი უფროს ლექტორად დასაქმების უპირატესობები. </w:t>
      </w:r>
      <w:r w:rsidR="009370A7" w:rsidRPr="00FE223D">
        <w:rPr>
          <w:rFonts w:ascii="Sylfaen" w:hAnsi="Sylfaen"/>
          <w:lang w:val="ka-GE"/>
        </w:rPr>
        <w:t xml:space="preserve">მომჩივანი </w:t>
      </w:r>
      <w:r w:rsidR="00B36233" w:rsidRPr="00FE223D">
        <w:rPr>
          <w:rFonts w:ascii="Sylfaen" w:hAnsi="Sylfaen"/>
          <w:lang w:val="ka-GE"/>
        </w:rPr>
        <w:t xml:space="preserve">შეზღუდული შესაძლებლობის მქონე პირია და მას შეზღუდული შესაძლებლობის </w:t>
      </w:r>
      <w:r w:rsidR="00770989" w:rsidRPr="00FE223D">
        <w:rPr>
          <w:rFonts w:ascii="Sylfaen" w:hAnsi="Sylfaen"/>
          <w:lang w:val="ka-GE"/>
        </w:rPr>
        <w:t xml:space="preserve">მქონე პირთა </w:t>
      </w:r>
      <w:r w:rsidR="00B36233" w:rsidRPr="00FE223D">
        <w:rPr>
          <w:rFonts w:ascii="Sylfaen" w:hAnsi="Sylfaen"/>
          <w:lang w:val="ka-GE"/>
        </w:rPr>
        <w:t>უფლებების ცოდნაც აქვს</w:t>
      </w:r>
      <w:r w:rsidR="009370A7" w:rsidRPr="00FE223D">
        <w:rPr>
          <w:rFonts w:ascii="Sylfaen" w:hAnsi="Sylfaen"/>
          <w:lang w:val="ka-GE"/>
        </w:rPr>
        <w:t>. ამის</w:t>
      </w:r>
      <w:r w:rsidR="00770989" w:rsidRPr="00FE223D">
        <w:rPr>
          <w:rFonts w:ascii="Sylfaen" w:hAnsi="Sylfaen"/>
          <w:lang w:val="ka-GE"/>
        </w:rPr>
        <w:t xml:space="preserve"> გამო</w:t>
      </w:r>
      <w:r w:rsidR="009370A7" w:rsidRPr="00FE223D">
        <w:rPr>
          <w:rFonts w:ascii="Sylfaen" w:hAnsi="Sylfaen"/>
          <w:lang w:val="ka-GE"/>
        </w:rPr>
        <w:t>,</w:t>
      </w:r>
      <w:r w:rsidR="00770989" w:rsidRPr="00FE223D">
        <w:rPr>
          <w:rFonts w:ascii="Sylfaen" w:hAnsi="Sylfaen"/>
          <w:lang w:val="ka-GE"/>
        </w:rPr>
        <w:t xml:space="preserve"> </w:t>
      </w:r>
      <w:r w:rsidR="009370A7" w:rsidRPr="00FE223D">
        <w:rPr>
          <w:rFonts w:ascii="Sylfaen" w:hAnsi="Sylfaen"/>
          <w:lang w:val="ka-GE"/>
        </w:rPr>
        <w:t>ს</w:t>
      </w:r>
      <w:r w:rsidR="001152CA" w:rsidRPr="00FE223D">
        <w:rPr>
          <w:rFonts w:ascii="Sylfaen" w:hAnsi="Sylfaen"/>
          <w:lang w:val="ka-GE"/>
        </w:rPr>
        <w:t>ო</w:t>
      </w:r>
      <w:r w:rsidR="009370A7" w:rsidRPr="00FE223D">
        <w:rPr>
          <w:rFonts w:ascii="Sylfaen" w:hAnsi="Sylfaen"/>
          <w:lang w:val="ka-GE"/>
        </w:rPr>
        <w:t>დერტ</w:t>
      </w:r>
      <w:r w:rsidR="001152CA" w:rsidRPr="00FE223D">
        <w:rPr>
          <w:rFonts w:ascii="Sylfaen" w:hAnsi="Sylfaen"/>
          <w:lang w:val="ka-GE"/>
        </w:rPr>
        <w:t>ო</w:t>
      </w:r>
      <w:r w:rsidR="009370A7" w:rsidRPr="00FE223D">
        <w:rPr>
          <w:rFonts w:ascii="Sylfaen" w:hAnsi="Sylfaen"/>
          <w:lang w:val="ka-GE"/>
        </w:rPr>
        <w:t xml:space="preserve">რნის უნივერსიტეტში </w:t>
      </w:r>
      <w:r w:rsidR="009370A7" w:rsidRPr="00FE223D">
        <w:rPr>
          <w:rFonts w:ascii="Sylfaen" w:hAnsi="Sylfaen"/>
          <w:lang w:val="ka-GE"/>
        </w:rPr>
        <w:t xml:space="preserve">ის </w:t>
      </w:r>
      <w:r w:rsidR="00770989" w:rsidRPr="00FE223D">
        <w:rPr>
          <w:rFonts w:ascii="Sylfaen" w:hAnsi="Sylfaen"/>
          <w:lang w:val="ka-GE"/>
        </w:rPr>
        <w:t xml:space="preserve">მნიშვნელოვან წვლილს შეიტანდა იმის ჩვენებით, რომ უნივერსიტეტი ღია და ინკლუზიურია ჯგუფებისთვის, რომლებიც </w:t>
      </w:r>
      <w:r w:rsidR="009370A7" w:rsidRPr="00FE223D">
        <w:rPr>
          <w:rFonts w:ascii="Sylfaen" w:hAnsi="Sylfaen"/>
          <w:lang w:val="ka-GE"/>
        </w:rPr>
        <w:t xml:space="preserve">საზოგადოებაში საკმარისად წარმოჩენილები </w:t>
      </w:r>
      <w:r w:rsidR="00770989" w:rsidRPr="00FE223D">
        <w:rPr>
          <w:rFonts w:ascii="Sylfaen" w:hAnsi="Sylfaen"/>
          <w:lang w:val="ka-GE"/>
        </w:rPr>
        <w:t>არ არია</w:t>
      </w:r>
      <w:r w:rsidR="009370A7" w:rsidRPr="00FE223D">
        <w:rPr>
          <w:rFonts w:ascii="Sylfaen" w:hAnsi="Sylfaen"/>
          <w:lang w:val="ka-GE"/>
        </w:rPr>
        <w:t>ნ</w:t>
      </w:r>
      <w:r w:rsidR="00770989" w:rsidRPr="00FE223D">
        <w:rPr>
          <w:rFonts w:ascii="Sylfaen" w:hAnsi="Sylfaen"/>
          <w:lang w:val="ka-GE"/>
        </w:rPr>
        <w:t xml:space="preserve">. უფროსი ლექტორის დასაქმება, რომელიც შეზღუდული შესაძლებლობის მქონე პირია, სტუდენტებს შშმ პირებთან პროფესიული ურთიერთობის შესაძლებლობას მისცემდა. ამის არ გაკეთება კი სახელმწიფო მხარის </w:t>
      </w:r>
      <w:r w:rsidR="00D55DB6" w:rsidRPr="00FE223D">
        <w:rPr>
          <w:rFonts w:ascii="Sylfaen" w:hAnsi="Sylfaen"/>
          <w:lang w:val="ka-GE"/>
        </w:rPr>
        <w:t xml:space="preserve">იმ </w:t>
      </w:r>
      <w:r w:rsidR="00770989" w:rsidRPr="00FE223D">
        <w:rPr>
          <w:rFonts w:ascii="Sylfaen" w:hAnsi="Sylfaen"/>
          <w:lang w:val="ka-GE"/>
        </w:rPr>
        <w:t>ვალდებულების დარღვევაა, რომელიც შეზღუდული შე</w:t>
      </w:r>
      <w:r w:rsidR="00D55DB6" w:rsidRPr="00FE223D">
        <w:rPr>
          <w:rFonts w:ascii="Sylfaen" w:hAnsi="Sylfaen"/>
          <w:lang w:val="ka-GE"/>
        </w:rPr>
        <w:t>საძლებლობის მქონე პირთა შესახებ ცნობიერების ამაღლებას ეხება და  კონვენციის მე-8 მუხლში</w:t>
      </w:r>
      <w:r w:rsidR="009370A7" w:rsidRPr="00FE223D">
        <w:rPr>
          <w:rFonts w:ascii="Sylfaen" w:hAnsi="Sylfaen"/>
          <w:lang w:val="ka-GE"/>
        </w:rPr>
        <w:t xml:space="preserve">ა </w:t>
      </w:r>
      <w:r w:rsidR="009370A7" w:rsidRPr="00FE223D">
        <w:rPr>
          <w:rFonts w:ascii="Sylfaen" w:hAnsi="Sylfaen"/>
          <w:lang w:val="ka-GE"/>
        </w:rPr>
        <w:t>გაწერილი</w:t>
      </w:r>
      <w:r w:rsidR="00D55DB6" w:rsidRPr="00FE223D">
        <w:rPr>
          <w:rFonts w:ascii="Sylfaen" w:hAnsi="Sylfaen"/>
          <w:lang w:val="ka-GE"/>
        </w:rPr>
        <w:t xml:space="preserve">. </w:t>
      </w:r>
    </w:p>
    <w:p w14:paraId="38A67D08" w14:textId="0EBBC145" w:rsidR="00D55DB6" w:rsidRPr="00FE223D" w:rsidRDefault="00F0037F" w:rsidP="00954286">
      <w:pPr>
        <w:pStyle w:val="SingleTxtG"/>
        <w:rPr>
          <w:rFonts w:ascii="Sylfaen" w:hAnsi="Sylfaen"/>
          <w:lang w:val="en-US"/>
        </w:rPr>
      </w:pPr>
      <w:r w:rsidRPr="00FE223D">
        <w:rPr>
          <w:rFonts w:ascii="Sylfaen" w:hAnsi="Sylfaen"/>
        </w:rPr>
        <w:t>3.6</w:t>
      </w:r>
      <w:r w:rsidRPr="00FE223D">
        <w:rPr>
          <w:rFonts w:ascii="Sylfaen" w:hAnsi="Sylfaen"/>
        </w:rPr>
        <w:tab/>
      </w:r>
      <w:r w:rsidR="00D55DB6" w:rsidRPr="00FE223D">
        <w:rPr>
          <w:rFonts w:ascii="Sylfaen" w:hAnsi="Sylfaen"/>
          <w:lang w:val="ka-GE"/>
        </w:rPr>
        <w:t xml:space="preserve">საბოლოოდ, </w:t>
      </w:r>
      <w:r w:rsidR="009370A7" w:rsidRPr="00FE223D">
        <w:rPr>
          <w:rFonts w:ascii="Sylfaen" w:hAnsi="Sylfaen"/>
          <w:lang w:val="ka-GE"/>
        </w:rPr>
        <w:t>მომჩივანი</w:t>
      </w:r>
      <w:r w:rsidR="00D55DB6" w:rsidRPr="00FE223D">
        <w:rPr>
          <w:rFonts w:ascii="Sylfaen" w:hAnsi="Sylfaen"/>
          <w:lang w:val="ka-GE"/>
        </w:rPr>
        <w:t xml:space="preserve"> ამტკიცებს, რომ ზემოთ ჩამოთვლილი დარღვევები კონვენციის მე-3 მუხლით განმტკიცებული ზოგადი პრინციპების </w:t>
      </w:r>
      <w:r w:rsidR="009F4923" w:rsidRPr="00FE223D">
        <w:rPr>
          <w:rFonts w:ascii="Sylfaen" w:hAnsi="Sylfaen"/>
          <w:lang w:val="ka-GE"/>
        </w:rPr>
        <w:t>გათვალისწინებით</w:t>
      </w:r>
      <w:r w:rsidR="00D55DB6" w:rsidRPr="00FE223D">
        <w:rPr>
          <w:rFonts w:ascii="Sylfaen" w:hAnsi="Sylfaen"/>
          <w:lang w:val="ka-GE"/>
        </w:rPr>
        <w:t xml:space="preserve"> უნდა იქნას აღქმული</w:t>
      </w:r>
      <w:r w:rsidR="009F4923" w:rsidRPr="00FE223D">
        <w:rPr>
          <w:rFonts w:ascii="Sylfaen" w:hAnsi="Sylfaen"/>
          <w:lang w:val="ka-GE"/>
        </w:rPr>
        <w:t>. ეს პრინციპებია</w:t>
      </w:r>
      <w:r w:rsidR="009370A7" w:rsidRPr="00FE223D">
        <w:rPr>
          <w:rFonts w:ascii="Sylfaen" w:hAnsi="Sylfaen"/>
          <w:lang w:val="ka-GE"/>
        </w:rPr>
        <w:t>:</w:t>
      </w:r>
      <w:r w:rsidR="009F4923" w:rsidRPr="00FE223D">
        <w:rPr>
          <w:rFonts w:ascii="Sylfaen" w:hAnsi="Sylfaen"/>
          <w:lang w:val="ka-GE"/>
        </w:rPr>
        <w:t xml:space="preserve"> (</w:t>
      </w:r>
      <w:r w:rsidR="009F4923" w:rsidRPr="00FE223D">
        <w:rPr>
          <w:rFonts w:ascii="Sylfaen" w:hAnsi="Sylfaen"/>
          <w:lang w:val="en-US"/>
        </w:rPr>
        <w:t xml:space="preserve">b) </w:t>
      </w:r>
      <w:r w:rsidR="009F4923" w:rsidRPr="00FE223D">
        <w:rPr>
          <w:rFonts w:ascii="Sylfaen" w:hAnsi="Sylfaen"/>
          <w:lang w:val="ka-GE"/>
        </w:rPr>
        <w:t>დისკრიმინაციის დაუშვებლობა; (</w:t>
      </w:r>
      <w:r w:rsidR="009F4923" w:rsidRPr="00FE223D">
        <w:rPr>
          <w:rFonts w:ascii="Sylfaen" w:hAnsi="Sylfaen"/>
          <w:lang w:val="en-US"/>
        </w:rPr>
        <w:t xml:space="preserve">c) </w:t>
      </w:r>
      <w:r w:rsidR="009370A7" w:rsidRPr="00FE223D">
        <w:rPr>
          <w:rFonts w:ascii="Sylfaen" w:hAnsi="Sylfaen"/>
          <w:lang w:val="ka-GE"/>
        </w:rPr>
        <w:t>საზოგადოებაში</w:t>
      </w:r>
      <w:r w:rsidR="009370A7" w:rsidRPr="00FE223D">
        <w:rPr>
          <w:rFonts w:ascii="Sylfaen" w:hAnsi="Sylfaen"/>
          <w:lang w:val="ka-GE"/>
        </w:rPr>
        <w:t xml:space="preserve"> </w:t>
      </w:r>
      <w:r w:rsidR="009F4923" w:rsidRPr="00FE223D">
        <w:rPr>
          <w:rFonts w:ascii="Sylfaen" w:hAnsi="Sylfaen"/>
          <w:lang w:val="ka-GE"/>
        </w:rPr>
        <w:t>სრული და ეფექტური მონაწილეობა და ინკლუზია; (</w:t>
      </w:r>
      <w:r w:rsidR="009F4923" w:rsidRPr="00FE223D">
        <w:rPr>
          <w:rFonts w:ascii="Sylfaen" w:hAnsi="Sylfaen"/>
          <w:lang w:val="en-US"/>
        </w:rPr>
        <w:t xml:space="preserve">e) </w:t>
      </w:r>
      <w:r w:rsidR="009F4923" w:rsidRPr="00FE223D">
        <w:rPr>
          <w:rFonts w:ascii="Sylfaen" w:hAnsi="Sylfaen"/>
          <w:lang w:val="ka-GE"/>
        </w:rPr>
        <w:t>შესაძლებლობების თანასწორობა და (</w:t>
      </w:r>
      <w:r w:rsidR="009F4923" w:rsidRPr="00FE223D">
        <w:rPr>
          <w:rFonts w:ascii="Sylfaen" w:hAnsi="Sylfaen"/>
          <w:lang w:val="en-US"/>
        </w:rPr>
        <w:t xml:space="preserve">f) </w:t>
      </w:r>
      <w:r w:rsidR="009F4923" w:rsidRPr="00FE223D">
        <w:rPr>
          <w:rFonts w:ascii="Sylfaen" w:hAnsi="Sylfaen"/>
          <w:lang w:val="ka-GE"/>
        </w:rPr>
        <w:t>ხელმისაწვდომობა. რეკრუტირების პროცესის გაუქმებით, სახელმწიფო მხარემ  ავტორის საჯარო დასაქმების თანაბარი შესაძლებლობის უფლება</w:t>
      </w:r>
      <w:r w:rsidR="009370A7" w:rsidRPr="00FE223D">
        <w:rPr>
          <w:rFonts w:ascii="Sylfaen" w:hAnsi="Sylfaen"/>
          <w:lang w:val="ka-GE"/>
        </w:rPr>
        <w:t xml:space="preserve"> </w:t>
      </w:r>
      <w:r w:rsidR="009370A7" w:rsidRPr="00FE223D">
        <w:rPr>
          <w:rFonts w:ascii="Sylfaen" w:hAnsi="Sylfaen"/>
          <w:lang w:val="ka-GE"/>
        </w:rPr>
        <w:t>უგულებელყო</w:t>
      </w:r>
      <w:r w:rsidR="009F4923" w:rsidRPr="00FE223D">
        <w:rPr>
          <w:rFonts w:ascii="Sylfaen" w:hAnsi="Sylfaen"/>
          <w:lang w:val="ka-GE"/>
        </w:rPr>
        <w:t xml:space="preserve"> და  მუხლები 4.2, 5, 9 და 27</w:t>
      </w:r>
      <w:r w:rsidR="009370A7" w:rsidRPr="00FE223D">
        <w:rPr>
          <w:rFonts w:ascii="Sylfaen" w:hAnsi="Sylfaen"/>
          <w:lang w:val="ka-GE"/>
        </w:rPr>
        <w:t xml:space="preserve"> </w:t>
      </w:r>
      <w:r w:rsidR="009370A7" w:rsidRPr="00FE223D">
        <w:rPr>
          <w:rFonts w:ascii="Sylfaen" w:hAnsi="Sylfaen"/>
          <w:lang w:val="ka-GE"/>
        </w:rPr>
        <w:t>დაარღვია</w:t>
      </w:r>
      <w:r w:rsidR="009F4923" w:rsidRPr="00FE223D">
        <w:rPr>
          <w:rFonts w:ascii="Sylfaen" w:hAnsi="Sylfaen"/>
          <w:lang w:val="ka-GE"/>
        </w:rPr>
        <w:t xml:space="preserve">, </w:t>
      </w:r>
      <w:r w:rsidR="00E80132" w:rsidRPr="00FE223D">
        <w:rPr>
          <w:rFonts w:ascii="Sylfaen" w:hAnsi="Sylfaen"/>
          <w:lang w:val="ka-GE"/>
        </w:rPr>
        <w:t xml:space="preserve">თითოეული </w:t>
      </w:r>
      <w:r w:rsidR="009F4923" w:rsidRPr="00FE223D">
        <w:rPr>
          <w:rFonts w:ascii="Sylfaen" w:hAnsi="Sylfaen"/>
          <w:lang w:val="ka-GE"/>
        </w:rPr>
        <w:t>ინდივიდუალურადაც და კონვენციის მე-3 მუხლ</w:t>
      </w:r>
      <w:r w:rsidR="00E80132" w:rsidRPr="00FE223D">
        <w:rPr>
          <w:rFonts w:ascii="Sylfaen" w:hAnsi="Sylfaen"/>
          <w:lang w:val="ka-GE"/>
        </w:rPr>
        <w:t xml:space="preserve">თან კავშირშიც. </w:t>
      </w:r>
    </w:p>
    <w:p w14:paraId="79DC2668" w14:textId="7AF2590F" w:rsidR="00F0037F" w:rsidRPr="00FE223D" w:rsidRDefault="00F0037F" w:rsidP="00E80132">
      <w:pPr>
        <w:pStyle w:val="H23G"/>
        <w:jc w:val="both"/>
        <w:rPr>
          <w:rFonts w:ascii="Sylfaen" w:hAnsi="Sylfaen"/>
          <w:lang w:val="en-US"/>
        </w:rPr>
      </w:pPr>
      <w:r w:rsidRPr="00FE223D">
        <w:rPr>
          <w:rFonts w:ascii="Sylfaen" w:hAnsi="Sylfaen"/>
        </w:rPr>
        <w:tab/>
      </w:r>
      <w:r w:rsidRPr="00FE223D">
        <w:rPr>
          <w:rFonts w:ascii="Sylfaen" w:hAnsi="Sylfaen"/>
        </w:rPr>
        <w:tab/>
      </w:r>
      <w:r w:rsidR="00E80132" w:rsidRPr="00FE223D">
        <w:rPr>
          <w:rFonts w:ascii="Sylfaen" w:hAnsi="Sylfaen"/>
          <w:lang w:val="ka-GE"/>
        </w:rPr>
        <w:t xml:space="preserve">სახელმწიფო მხარის </w:t>
      </w:r>
      <w:r w:rsidR="00B4408E" w:rsidRPr="00FE223D">
        <w:rPr>
          <w:rFonts w:ascii="Sylfaen" w:hAnsi="Sylfaen"/>
          <w:lang w:val="ka-GE"/>
        </w:rPr>
        <w:t>დაკვირვებები</w:t>
      </w:r>
      <w:r w:rsidR="00E80132" w:rsidRPr="00FE223D">
        <w:rPr>
          <w:rFonts w:ascii="Sylfaen" w:hAnsi="Sylfaen"/>
          <w:lang w:val="ka-GE"/>
        </w:rPr>
        <w:t xml:space="preserve"> შეტყობინების დასაშვებობასთან </w:t>
      </w:r>
      <w:r w:rsidR="00FF2E52" w:rsidRPr="00FE223D">
        <w:rPr>
          <w:rFonts w:ascii="Sylfaen" w:hAnsi="Sylfaen"/>
          <w:lang w:val="ka-GE"/>
        </w:rPr>
        <w:t xml:space="preserve">და </w:t>
      </w:r>
      <w:r w:rsidR="000743DA" w:rsidRPr="00FE223D">
        <w:rPr>
          <w:rFonts w:ascii="Sylfaen" w:hAnsi="Sylfaen"/>
          <w:lang w:val="ka-GE"/>
        </w:rPr>
        <w:t xml:space="preserve">შეტყობინების </w:t>
      </w:r>
      <w:r w:rsidR="00FF2E52" w:rsidRPr="00FE223D">
        <w:rPr>
          <w:rFonts w:ascii="Sylfaen" w:hAnsi="Sylfaen"/>
          <w:lang w:val="ka-GE"/>
        </w:rPr>
        <w:t>არსებით მხარე</w:t>
      </w:r>
      <w:r w:rsidR="00440EF1" w:rsidRPr="00FE223D">
        <w:rPr>
          <w:rFonts w:ascii="Sylfaen" w:hAnsi="Sylfaen"/>
          <w:lang w:val="ka-GE"/>
        </w:rPr>
        <w:t>ებ</w:t>
      </w:r>
      <w:r w:rsidR="00FF2E52" w:rsidRPr="00FE223D">
        <w:rPr>
          <w:rFonts w:ascii="Sylfaen" w:hAnsi="Sylfaen"/>
          <w:lang w:val="ka-GE"/>
        </w:rPr>
        <w:t>თან</w:t>
      </w:r>
      <w:r w:rsidR="00440EF1" w:rsidRPr="00FE223D">
        <w:rPr>
          <w:rFonts w:ascii="Sylfaen" w:hAnsi="Sylfaen"/>
          <w:lang w:val="ka-GE"/>
        </w:rPr>
        <w:t xml:space="preserve"> </w:t>
      </w:r>
      <w:r w:rsidR="00E80132" w:rsidRPr="00FE223D">
        <w:rPr>
          <w:rFonts w:ascii="Sylfaen" w:hAnsi="Sylfaen"/>
          <w:lang w:val="ka-GE"/>
        </w:rPr>
        <w:t>დაკავშირებით</w:t>
      </w:r>
    </w:p>
    <w:p w14:paraId="4A77CF68" w14:textId="227F532E" w:rsidR="00FF2E52" w:rsidRPr="00FE223D" w:rsidRDefault="00F0037F" w:rsidP="00954286">
      <w:pPr>
        <w:pStyle w:val="SingleTxtG"/>
        <w:rPr>
          <w:rFonts w:ascii="Sylfaen" w:hAnsi="Sylfaen"/>
          <w:lang w:val="ka-GE"/>
        </w:rPr>
      </w:pPr>
      <w:r w:rsidRPr="00FE223D">
        <w:rPr>
          <w:rFonts w:ascii="Sylfaen" w:hAnsi="Sylfaen"/>
        </w:rPr>
        <w:t>4.1</w:t>
      </w:r>
      <w:r w:rsidRPr="00FE223D">
        <w:rPr>
          <w:rFonts w:ascii="Sylfaen" w:hAnsi="Sylfaen"/>
        </w:rPr>
        <w:tab/>
      </w:r>
      <w:r w:rsidR="00FF2E52" w:rsidRPr="00FE223D">
        <w:rPr>
          <w:rFonts w:ascii="Sylfaen" w:hAnsi="Sylfaen"/>
        </w:rPr>
        <w:t xml:space="preserve">2018 </w:t>
      </w:r>
      <w:r w:rsidR="00FF2E52" w:rsidRPr="00FE223D">
        <w:rPr>
          <w:rFonts w:ascii="Sylfaen" w:hAnsi="Sylfaen"/>
          <w:lang w:val="ka-GE"/>
        </w:rPr>
        <w:t>წლის 4 ივლისს, შეტყობინების დასაშვებობასთან და არსებით მხარესთან დაკავშირებით</w:t>
      </w:r>
      <w:r w:rsidR="00FF5EBB" w:rsidRPr="00FE223D">
        <w:rPr>
          <w:rFonts w:ascii="Sylfaen" w:hAnsi="Sylfaen"/>
          <w:lang w:val="en-US"/>
        </w:rPr>
        <w:t>,</w:t>
      </w:r>
      <w:r w:rsidR="00FF2E52" w:rsidRPr="00FE223D">
        <w:rPr>
          <w:rFonts w:ascii="Sylfaen" w:hAnsi="Sylfaen"/>
          <w:lang w:val="ka-GE"/>
        </w:rPr>
        <w:t xml:space="preserve"> </w:t>
      </w:r>
      <w:r w:rsidR="00FF5EBB" w:rsidRPr="00FE223D">
        <w:rPr>
          <w:rFonts w:ascii="Sylfaen" w:hAnsi="Sylfaen"/>
          <w:lang w:val="ka-GE"/>
        </w:rPr>
        <w:t>სახელმწიფო მხარემ</w:t>
      </w:r>
      <w:r w:rsidR="00FF5EBB" w:rsidRPr="00FE223D">
        <w:rPr>
          <w:rFonts w:ascii="Sylfaen" w:hAnsi="Sylfaen"/>
          <w:lang w:val="en-US"/>
        </w:rPr>
        <w:t xml:space="preserve"> </w:t>
      </w:r>
      <w:r w:rsidR="00FF2E52" w:rsidRPr="00FE223D">
        <w:rPr>
          <w:rFonts w:ascii="Sylfaen" w:hAnsi="Sylfaen"/>
          <w:lang w:val="ka-GE"/>
        </w:rPr>
        <w:t>შენიშვნები წარადგინა</w:t>
      </w:r>
      <w:r w:rsidR="00FF5EBB" w:rsidRPr="00FE223D">
        <w:rPr>
          <w:rFonts w:ascii="Sylfaen" w:hAnsi="Sylfaen"/>
          <w:lang w:val="en-US"/>
        </w:rPr>
        <w:t xml:space="preserve">. </w:t>
      </w:r>
      <w:r w:rsidR="00FF5EBB" w:rsidRPr="00FE223D">
        <w:rPr>
          <w:rFonts w:ascii="Sylfaen" w:hAnsi="Sylfaen"/>
          <w:lang w:val="ka-GE"/>
        </w:rPr>
        <w:t xml:space="preserve">მისი მტკიცებით, </w:t>
      </w:r>
      <w:r w:rsidR="00FF2E52" w:rsidRPr="00FE223D">
        <w:rPr>
          <w:rFonts w:ascii="Sylfaen" w:hAnsi="Sylfaen"/>
          <w:lang w:val="ka-GE"/>
        </w:rPr>
        <w:t xml:space="preserve">შეტყობინება დაუშვებლად უნდა იყოს მიჩნეული დასაბუთების არარსებობისა და </w:t>
      </w:r>
      <w:r w:rsidR="00FF5EBB" w:rsidRPr="00FE223D">
        <w:rPr>
          <w:rFonts w:ascii="Sylfaen" w:hAnsi="Sylfaen"/>
          <w:lang w:val="ka-GE"/>
        </w:rPr>
        <w:t xml:space="preserve">იმის გამო, რომ მომჩივანს </w:t>
      </w:r>
      <w:r w:rsidR="00FE551A" w:rsidRPr="00FE223D">
        <w:rPr>
          <w:rFonts w:ascii="Sylfaen" w:hAnsi="Sylfaen"/>
          <w:lang w:val="ka-GE"/>
        </w:rPr>
        <w:t>ადგილობრივი სამართლებრივი დაცვის</w:t>
      </w:r>
      <w:r w:rsidR="00FF2E52" w:rsidRPr="00FE223D">
        <w:rPr>
          <w:rFonts w:ascii="Sylfaen" w:hAnsi="Sylfaen"/>
          <w:lang w:val="ka-GE"/>
        </w:rPr>
        <w:t xml:space="preserve"> საშუალებები</w:t>
      </w:r>
      <w:r w:rsidR="00FF5EBB" w:rsidRPr="00FE223D">
        <w:rPr>
          <w:rFonts w:ascii="Sylfaen" w:hAnsi="Sylfaen"/>
          <w:lang w:val="ka-GE"/>
        </w:rPr>
        <w:t xml:space="preserve"> არ ამოუწურავს. </w:t>
      </w:r>
      <w:r w:rsidR="00FF2E52" w:rsidRPr="00FE223D">
        <w:rPr>
          <w:rFonts w:ascii="Sylfaen" w:hAnsi="Sylfaen"/>
          <w:lang w:val="ka-GE"/>
        </w:rPr>
        <w:t xml:space="preserve"> </w:t>
      </w:r>
    </w:p>
    <w:p w14:paraId="178DBEAF" w14:textId="6A706368" w:rsidR="00FE551A" w:rsidRPr="00FE223D" w:rsidRDefault="00F0037F" w:rsidP="00954286">
      <w:pPr>
        <w:pStyle w:val="SingleTxtG"/>
        <w:rPr>
          <w:rFonts w:ascii="Sylfaen" w:hAnsi="Sylfaen"/>
          <w:lang w:val="ka-GE"/>
        </w:rPr>
      </w:pPr>
      <w:r w:rsidRPr="00FE223D">
        <w:rPr>
          <w:rFonts w:ascii="Sylfaen" w:hAnsi="Sylfaen"/>
        </w:rPr>
        <w:lastRenderedPageBreak/>
        <w:t>4.2</w:t>
      </w:r>
      <w:r w:rsidRPr="00FE223D">
        <w:rPr>
          <w:rFonts w:ascii="Sylfaen" w:hAnsi="Sylfaen"/>
        </w:rPr>
        <w:tab/>
      </w:r>
      <w:r w:rsidR="002758FA" w:rsidRPr="00FE223D">
        <w:rPr>
          <w:rFonts w:ascii="Sylfaen" w:hAnsi="Sylfaen"/>
          <w:lang w:val="ka-GE"/>
        </w:rPr>
        <w:t>ს</w:t>
      </w:r>
      <w:r w:rsidR="00FE551A" w:rsidRPr="00FE223D">
        <w:rPr>
          <w:rFonts w:ascii="Sylfaen" w:hAnsi="Sylfaen"/>
          <w:lang w:val="ka-GE"/>
        </w:rPr>
        <w:t xml:space="preserve">ახელმწიფო </w:t>
      </w:r>
      <w:r w:rsidR="002758FA" w:rsidRPr="00FE223D">
        <w:rPr>
          <w:rFonts w:ascii="Sylfaen" w:hAnsi="Sylfaen"/>
          <w:lang w:val="ka-GE"/>
        </w:rPr>
        <w:t xml:space="preserve">მხარე </w:t>
      </w:r>
      <w:r w:rsidR="00FE551A" w:rsidRPr="00FE223D">
        <w:rPr>
          <w:rFonts w:ascii="Sylfaen" w:hAnsi="Sylfaen"/>
          <w:lang w:val="ka-GE"/>
        </w:rPr>
        <w:t xml:space="preserve">თანასწორობისა და </w:t>
      </w:r>
      <w:r w:rsidR="002758FA" w:rsidRPr="00FE223D">
        <w:rPr>
          <w:rFonts w:ascii="Sylfaen" w:hAnsi="Sylfaen"/>
          <w:lang w:val="ka-GE"/>
        </w:rPr>
        <w:t>დისკრიმინაციის დაუშვებლობის შესახებ ადგილობრივ</w:t>
      </w:r>
      <w:r w:rsidR="00FE551A" w:rsidRPr="00FE223D">
        <w:rPr>
          <w:rFonts w:ascii="Sylfaen" w:hAnsi="Sylfaen"/>
          <w:lang w:val="ka-GE"/>
        </w:rPr>
        <w:t xml:space="preserve"> კანონმდებლობაზე </w:t>
      </w:r>
      <w:r w:rsidR="002758FA" w:rsidRPr="00FE223D">
        <w:rPr>
          <w:rFonts w:ascii="Sylfaen" w:hAnsi="Sylfaen"/>
          <w:lang w:val="ka-GE"/>
        </w:rPr>
        <w:t xml:space="preserve">მიუთითებს. შვედეთის კონსტიტუციის პირველი თავის მე-2 მუხლის თანახმად, საჯარო დაწესებულებებმა ხელი უნდა შეუწყონ </w:t>
      </w:r>
      <w:r w:rsidR="00FF5EBB" w:rsidRPr="00FE223D">
        <w:rPr>
          <w:rFonts w:ascii="Sylfaen" w:hAnsi="Sylfaen"/>
          <w:lang w:val="ka-GE"/>
        </w:rPr>
        <w:t>საზოგადოებაში</w:t>
      </w:r>
      <w:r w:rsidR="00FF5EBB" w:rsidRPr="00FE223D">
        <w:rPr>
          <w:rFonts w:ascii="Sylfaen" w:hAnsi="Sylfaen"/>
          <w:lang w:val="ka-GE"/>
        </w:rPr>
        <w:t xml:space="preserve"> </w:t>
      </w:r>
      <w:r w:rsidR="002758FA" w:rsidRPr="00FE223D">
        <w:rPr>
          <w:rFonts w:ascii="Sylfaen" w:hAnsi="Sylfaen"/>
          <w:lang w:val="ka-GE"/>
        </w:rPr>
        <w:t>ყველა</w:t>
      </w:r>
      <w:r w:rsidR="00FF5EBB" w:rsidRPr="00FE223D">
        <w:rPr>
          <w:rFonts w:ascii="Sylfaen" w:hAnsi="Sylfaen"/>
          <w:lang w:val="ka-GE"/>
        </w:rPr>
        <w:t xml:space="preserve"> ადამიანის</w:t>
      </w:r>
      <w:r w:rsidR="002758FA" w:rsidRPr="00FE223D">
        <w:rPr>
          <w:rFonts w:ascii="Sylfaen" w:hAnsi="Sylfaen"/>
          <w:lang w:val="ka-GE"/>
        </w:rPr>
        <w:t xml:space="preserve"> მონაწილეობ</w:t>
      </w:r>
      <w:r w:rsidR="00FF5EBB" w:rsidRPr="00FE223D">
        <w:rPr>
          <w:rFonts w:ascii="Sylfaen" w:hAnsi="Sylfaen"/>
          <w:lang w:val="ka-GE"/>
        </w:rPr>
        <w:t xml:space="preserve">ასა </w:t>
      </w:r>
      <w:r w:rsidR="002758FA" w:rsidRPr="00FE223D">
        <w:rPr>
          <w:rFonts w:ascii="Sylfaen" w:hAnsi="Sylfaen"/>
          <w:lang w:val="ka-GE"/>
        </w:rPr>
        <w:t>და თანასწორობის შესაძლებლობას</w:t>
      </w:r>
      <w:r w:rsidR="00FF5EBB" w:rsidRPr="00FE223D">
        <w:rPr>
          <w:rFonts w:ascii="Sylfaen" w:hAnsi="Sylfaen"/>
          <w:lang w:val="ka-GE"/>
        </w:rPr>
        <w:t xml:space="preserve">. ამავე მუხლის მიხედვით, </w:t>
      </w:r>
      <w:r w:rsidR="002B4864" w:rsidRPr="00FE223D">
        <w:rPr>
          <w:rFonts w:ascii="Sylfaen" w:hAnsi="Sylfaen"/>
          <w:lang w:val="ka-GE"/>
        </w:rPr>
        <w:t xml:space="preserve"> სა</w:t>
      </w:r>
      <w:r w:rsidR="00FF5EBB" w:rsidRPr="00FE223D">
        <w:rPr>
          <w:rFonts w:ascii="Sylfaen" w:hAnsi="Sylfaen"/>
          <w:lang w:val="ka-GE"/>
        </w:rPr>
        <w:t>ხელმწიფო ორგანოები</w:t>
      </w:r>
      <w:r w:rsidR="002B4864" w:rsidRPr="00FE223D">
        <w:rPr>
          <w:rFonts w:ascii="Sylfaen" w:hAnsi="Sylfaen"/>
          <w:lang w:val="ka-GE"/>
        </w:rPr>
        <w:t xml:space="preserve"> უნდა შეებრძოლონ</w:t>
      </w:r>
      <w:r w:rsidR="00C25929" w:rsidRPr="00FE223D">
        <w:rPr>
          <w:rFonts w:ascii="Sylfaen" w:hAnsi="Sylfaen"/>
          <w:lang w:val="ka-GE"/>
        </w:rPr>
        <w:t xml:space="preserve"> დისკრიმინაციას,</w:t>
      </w:r>
      <w:r w:rsidR="002B4864" w:rsidRPr="00FE223D">
        <w:rPr>
          <w:rFonts w:ascii="Sylfaen" w:hAnsi="Sylfaen"/>
          <w:lang w:val="ka-GE"/>
        </w:rPr>
        <w:t xml:space="preserve"> </w:t>
      </w:r>
      <w:r w:rsidR="002B4864" w:rsidRPr="00FE223D">
        <w:rPr>
          <w:rFonts w:ascii="Sylfaen" w:hAnsi="Sylfaen"/>
          <w:i/>
          <w:iCs/>
          <w:lang w:val="en-US"/>
        </w:rPr>
        <w:t>inter alia</w:t>
      </w:r>
      <w:r w:rsidR="00C25929" w:rsidRPr="00FE223D">
        <w:rPr>
          <w:rFonts w:ascii="Sylfaen" w:hAnsi="Sylfaen"/>
          <w:i/>
          <w:iCs/>
          <w:lang w:val="ka-GE"/>
        </w:rPr>
        <w:t>,</w:t>
      </w:r>
      <w:r w:rsidR="002B4864" w:rsidRPr="00FE223D">
        <w:rPr>
          <w:rFonts w:ascii="Sylfaen" w:hAnsi="Sylfaen"/>
          <w:lang w:val="ka-GE"/>
        </w:rPr>
        <w:t xml:space="preserve"> შეზღუდულ</w:t>
      </w:r>
      <w:r w:rsidR="00C25929" w:rsidRPr="00FE223D">
        <w:rPr>
          <w:rFonts w:ascii="Sylfaen" w:hAnsi="Sylfaen"/>
          <w:lang w:val="ka-GE"/>
        </w:rPr>
        <w:t>ი</w:t>
      </w:r>
      <w:r w:rsidR="002B4864" w:rsidRPr="00FE223D">
        <w:rPr>
          <w:rFonts w:ascii="Sylfaen" w:hAnsi="Sylfaen"/>
          <w:lang w:val="ka-GE"/>
        </w:rPr>
        <w:t xml:space="preserve"> შესაძლებლობების </w:t>
      </w:r>
      <w:r w:rsidR="00C25929" w:rsidRPr="00FE223D">
        <w:rPr>
          <w:rFonts w:ascii="Sylfaen" w:hAnsi="Sylfaen"/>
          <w:lang w:val="ka-GE"/>
        </w:rPr>
        <w:t xml:space="preserve">საფუძველზე. ამ საქმესთან დაკავშირებული შიდა დებულებები გვხვდება დისკრიმინაციის </w:t>
      </w:r>
      <w:r w:rsidR="00FF5EBB" w:rsidRPr="00FE223D">
        <w:rPr>
          <w:rFonts w:ascii="Sylfaen" w:hAnsi="Sylfaen"/>
          <w:lang w:val="ka-GE"/>
        </w:rPr>
        <w:t xml:space="preserve">შესახებ </w:t>
      </w:r>
      <w:r w:rsidR="00C25929" w:rsidRPr="00FE223D">
        <w:rPr>
          <w:rFonts w:ascii="Sylfaen" w:hAnsi="Sylfaen"/>
          <w:lang w:val="ka-GE"/>
        </w:rPr>
        <w:t>კანონში</w:t>
      </w:r>
      <w:r w:rsidR="00FF5EBB" w:rsidRPr="00FE223D">
        <w:rPr>
          <w:rFonts w:ascii="Sylfaen" w:hAnsi="Sylfaen"/>
          <w:lang w:val="ka-GE"/>
        </w:rPr>
        <w:t>ც</w:t>
      </w:r>
      <w:r w:rsidR="00C25929" w:rsidRPr="00FE223D">
        <w:rPr>
          <w:rStyle w:val="FootnoteReference"/>
          <w:rFonts w:ascii="Sylfaen" w:hAnsi="Sylfaen"/>
        </w:rPr>
        <w:footnoteReference w:id="8"/>
      </w:r>
      <w:r w:rsidR="00C25929" w:rsidRPr="00FE223D">
        <w:rPr>
          <w:rFonts w:ascii="Sylfaen" w:hAnsi="Sylfaen"/>
          <w:lang w:val="ka-GE"/>
        </w:rPr>
        <w:t xml:space="preserve">. პირველი თავის მე-4 ნაწილის მიხედვით, არაადეკვატური ხელმისაწვდომობა დისკრიმინაციის ფორმაა. ეს დებულება ძალაში 2015 წლის იანვარში შევიდა და მიზნად ისახავს, </w:t>
      </w:r>
      <w:r w:rsidR="00C25929" w:rsidRPr="00FE223D">
        <w:rPr>
          <w:rFonts w:ascii="Sylfaen" w:hAnsi="Sylfaen"/>
          <w:i/>
          <w:iCs/>
          <w:lang w:val="en-US"/>
        </w:rPr>
        <w:t>inter alia</w:t>
      </w:r>
      <w:r w:rsidR="00C25929" w:rsidRPr="00FE223D">
        <w:rPr>
          <w:rFonts w:ascii="Sylfaen" w:hAnsi="Sylfaen"/>
          <w:i/>
          <w:iCs/>
          <w:lang w:val="ka-GE"/>
        </w:rPr>
        <w:t xml:space="preserve">, </w:t>
      </w:r>
      <w:r w:rsidR="00C25929" w:rsidRPr="00FE223D">
        <w:rPr>
          <w:rFonts w:ascii="Sylfaen" w:hAnsi="Sylfaen"/>
          <w:lang w:val="ka-GE"/>
        </w:rPr>
        <w:t xml:space="preserve">დისკრიმინაციის </w:t>
      </w:r>
      <w:r w:rsidR="00D9638F" w:rsidRPr="00FE223D">
        <w:rPr>
          <w:rFonts w:ascii="Sylfaen" w:hAnsi="Sylfaen"/>
          <w:lang w:val="ka-GE"/>
        </w:rPr>
        <w:t xml:space="preserve">შესახებ </w:t>
      </w:r>
      <w:r w:rsidR="00C25929" w:rsidRPr="00FE223D">
        <w:rPr>
          <w:rFonts w:ascii="Sylfaen" w:hAnsi="Sylfaen"/>
          <w:lang w:val="ka-GE"/>
        </w:rPr>
        <w:t xml:space="preserve">კანონის კონვენციასთან შესაბამისობაში მოყვანას. </w:t>
      </w:r>
    </w:p>
    <w:p w14:paraId="62D811B9" w14:textId="2B2476CE" w:rsidR="00B5630E" w:rsidRPr="00FE223D" w:rsidRDefault="00F0037F" w:rsidP="006931FA">
      <w:pPr>
        <w:pStyle w:val="SingleTxtG"/>
        <w:rPr>
          <w:rFonts w:ascii="Sylfaen" w:hAnsi="Sylfaen"/>
        </w:rPr>
      </w:pPr>
      <w:r w:rsidRPr="00FE223D">
        <w:rPr>
          <w:rFonts w:ascii="Sylfaen" w:hAnsi="Sylfaen"/>
        </w:rPr>
        <w:t>4.3</w:t>
      </w:r>
      <w:r w:rsidRPr="00FE223D">
        <w:rPr>
          <w:rFonts w:ascii="Sylfaen" w:hAnsi="Sylfaen"/>
        </w:rPr>
        <w:tab/>
      </w:r>
      <w:r w:rsidR="00B5630E" w:rsidRPr="00FE223D">
        <w:rPr>
          <w:rFonts w:ascii="Sylfaen" w:hAnsi="Sylfaen"/>
          <w:lang w:val="ka-GE"/>
        </w:rPr>
        <w:t xml:space="preserve">დისკრიმინაციის </w:t>
      </w:r>
      <w:r w:rsidR="00FF5EBB" w:rsidRPr="00FE223D">
        <w:rPr>
          <w:rFonts w:ascii="Sylfaen" w:hAnsi="Sylfaen"/>
          <w:lang w:val="ka-GE"/>
        </w:rPr>
        <w:t>დაუშვებლობის</w:t>
      </w:r>
      <w:r w:rsidR="00B5630E" w:rsidRPr="00FE223D">
        <w:rPr>
          <w:rFonts w:ascii="Sylfaen" w:hAnsi="Sylfaen"/>
          <w:lang w:val="ka-GE"/>
        </w:rPr>
        <w:t xml:space="preserve"> პირველი აუცილებელი წინაპირობა ის</w:t>
      </w:r>
      <w:r w:rsidR="00FF5EBB" w:rsidRPr="00FE223D">
        <w:rPr>
          <w:rFonts w:ascii="Sylfaen" w:hAnsi="Sylfaen"/>
          <w:lang w:val="ka-GE"/>
        </w:rPr>
        <w:t>აა</w:t>
      </w:r>
      <w:r w:rsidR="00B5630E" w:rsidRPr="00FE223D">
        <w:rPr>
          <w:rFonts w:ascii="Sylfaen" w:hAnsi="Sylfaen"/>
          <w:lang w:val="ka-GE"/>
        </w:rPr>
        <w:t>, რომ ინდივიდი</w:t>
      </w:r>
      <w:r w:rsidR="00FF5EBB" w:rsidRPr="00FE223D">
        <w:rPr>
          <w:rFonts w:ascii="Sylfaen" w:hAnsi="Sylfaen"/>
          <w:lang w:val="ka-GE"/>
        </w:rPr>
        <w:t xml:space="preserve"> სხვებთან</w:t>
      </w:r>
      <w:r w:rsidR="00B5630E" w:rsidRPr="00FE223D">
        <w:rPr>
          <w:rFonts w:ascii="Sylfaen" w:hAnsi="Sylfaen"/>
          <w:lang w:val="ka-GE"/>
        </w:rPr>
        <w:t xml:space="preserve"> „არათანაბარ პირობებშია“. ეს ნიშნავს, რომ ადამიან</w:t>
      </w:r>
      <w:r w:rsidR="00790D63" w:rsidRPr="00FE223D">
        <w:rPr>
          <w:rFonts w:ascii="Sylfaen" w:hAnsi="Sylfaen"/>
          <w:lang w:val="ka-GE"/>
        </w:rPr>
        <w:t>ს</w:t>
      </w:r>
      <w:r w:rsidR="00FF5EBB" w:rsidRPr="00FE223D">
        <w:rPr>
          <w:rFonts w:ascii="Sylfaen" w:hAnsi="Sylfaen"/>
          <w:lang w:val="ka-GE"/>
        </w:rPr>
        <w:t>,</w:t>
      </w:r>
      <w:r w:rsidR="00B5630E" w:rsidRPr="00FE223D">
        <w:rPr>
          <w:rFonts w:ascii="Sylfaen" w:hAnsi="Sylfaen"/>
          <w:lang w:val="ka-GE"/>
        </w:rPr>
        <w:t xml:space="preserve"> მაგალ</w:t>
      </w:r>
      <w:r w:rsidR="00FF5EBB" w:rsidRPr="00FE223D">
        <w:rPr>
          <w:rFonts w:ascii="Sylfaen" w:hAnsi="Sylfaen"/>
          <w:lang w:val="ka-GE"/>
        </w:rPr>
        <w:t>ი</w:t>
      </w:r>
      <w:r w:rsidR="00B5630E" w:rsidRPr="00FE223D">
        <w:rPr>
          <w:rFonts w:ascii="Sylfaen" w:hAnsi="Sylfaen"/>
          <w:lang w:val="ka-GE"/>
        </w:rPr>
        <w:t>თად, სამსახურის მაძიებელ</w:t>
      </w:r>
      <w:r w:rsidR="00790D63" w:rsidRPr="00FE223D">
        <w:rPr>
          <w:rFonts w:ascii="Sylfaen" w:hAnsi="Sylfaen"/>
          <w:lang w:val="ka-GE"/>
        </w:rPr>
        <w:t>ს</w:t>
      </w:r>
      <w:r w:rsidR="00FF5EBB" w:rsidRPr="00FE223D">
        <w:rPr>
          <w:rFonts w:ascii="Sylfaen" w:hAnsi="Sylfaen"/>
          <w:lang w:val="ka-GE"/>
        </w:rPr>
        <w:t>,</w:t>
      </w:r>
      <w:r w:rsidR="00B5630E" w:rsidRPr="00FE223D">
        <w:rPr>
          <w:rFonts w:ascii="Sylfaen" w:hAnsi="Sylfaen"/>
          <w:lang w:val="ka-GE"/>
        </w:rPr>
        <w:t xml:space="preserve"> </w:t>
      </w:r>
      <w:r w:rsidR="00790D63" w:rsidRPr="00FE223D">
        <w:rPr>
          <w:rFonts w:ascii="Sylfaen" w:hAnsi="Sylfaen"/>
          <w:lang w:val="ka-GE"/>
        </w:rPr>
        <w:t>ნაკლებად ხელსაყრელი საწყისი პირობები აქვს ან ვერ ახერხებს ამ პირობების მნიშვნელოვნად გაუმჯობესებას. გადამწყვეტი ფაქტორი ისაა, რომ</w:t>
      </w:r>
      <w:r w:rsidR="00FF5EBB" w:rsidRPr="00FE223D">
        <w:rPr>
          <w:rFonts w:ascii="Sylfaen" w:hAnsi="Sylfaen"/>
          <w:lang w:val="ka-GE"/>
        </w:rPr>
        <w:t>, ამ მიზეზების გამო,</w:t>
      </w:r>
      <w:r w:rsidR="00790D63" w:rsidRPr="00FE223D">
        <w:rPr>
          <w:rFonts w:ascii="Sylfaen" w:hAnsi="Sylfaen"/>
          <w:lang w:val="ka-GE"/>
        </w:rPr>
        <w:t xml:space="preserve"> ნეგატიური შედეგი დგება. მეორე </w:t>
      </w:r>
      <w:r w:rsidR="006F7566" w:rsidRPr="00FE223D">
        <w:rPr>
          <w:rFonts w:ascii="Sylfaen" w:hAnsi="Sylfaen"/>
          <w:lang w:val="ka-GE"/>
        </w:rPr>
        <w:t>წინაპირობა</w:t>
      </w:r>
      <w:r w:rsidR="00790D63" w:rsidRPr="00FE223D">
        <w:rPr>
          <w:rFonts w:ascii="Sylfaen" w:hAnsi="Sylfaen"/>
          <w:lang w:val="ka-GE"/>
        </w:rPr>
        <w:t xml:space="preserve"> ხელმისაწვდომობის გაზრდისთვის საჭირო ზომების უგულებელყოფაა. ეს, შესაძლოა, ნიშნავდეს თავად ზომები</w:t>
      </w:r>
      <w:r w:rsidR="006F7566" w:rsidRPr="00FE223D">
        <w:rPr>
          <w:rFonts w:ascii="Sylfaen" w:hAnsi="Sylfaen"/>
          <w:lang w:val="ka-GE"/>
        </w:rPr>
        <w:t>ს</w:t>
      </w:r>
      <w:r w:rsidR="00790D63" w:rsidRPr="00FE223D">
        <w:rPr>
          <w:rFonts w:ascii="Sylfaen" w:hAnsi="Sylfaen"/>
          <w:lang w:val="ka-GE"/>
        </w:rPr>
        <w:t xml:space="preserve"> არაადეკვატურ</w:t>
      </w:r>
      <w:r w:rsidR="006F7566" w:rsidRPr="00FE223D">
        <w:rPr>
          <w:rFonts w:ascii="Sylfaen" w:hAnsi="Sylfaen"/>
          <w:lang w:val="ka-GE"/>
        </w:rPr>
        <w:t>ობასაც</w:t>
      </w:r>
      <w:r w:rsidR="00790D63" w:rsidRPr="00FE223D">
        <w:rPr>
          <w:rFonts w:ascii="Sylfaen" w:hAnsi="Sylfaen"/>
          <w:lang w:val="ka-GE"/>
        </w:rPr>
        <w:t xml:space="preserve">. „შედარებითი სიტუაციის“ კრიტერიუმიც მნიშვნელოვანია. ეს ნიშნავს, რომ </w:t>
      </w:r>
      <w:r w:rsidR="00D7359E" w:rsidRPr="00FE223D">
        <w:rPr>
          <w:rFonts w:ascii="Sylfaen" w:hAnsi="Sylfaen"/>
          <w:lang w:val="ka-GE"/>
        </w:rPr>
        <w:t>ერთმანეთს უნდა შედარდეს შეზღუდული შესაძლებლობის მქონე პირებისა და სხვათა სიტუაციები. დასაქმებასთან დაკავშირებით, ეს შედარება, პირველ რიგში, შეზღუდული შესაძლებლობის მქონე პირის კონკრეტული სამუშაო</w:t>
      </w:r>
      <w:r w:rsidR="006F7566" w:rsidRPr="00FE223D">
        <w:rPr>
          <w:rFonts w:ascii="Sylfaen" w:hAnsi="Sylfaen"/>
          <w:lang w:val="ka-GE"/>
        </w:rPr>
        <w:t>ს შესრულების კომპეტენციის</w:t>
      </w:r>
      <w:r w:rsidR="00643A41" w:rsidRPr="00FE223D">
        <w:rPr>
          <w:rFonts w:ascii="Sylfaen" w:hAnsi="Sylfaen"/>
          <w:lang w:val="ka-GE"/>
        </w:rPr>
        <w:t xml:space="preserve"> </w:t>
      </w:r>
      <w:r w:rsidR="00D7359E" w:rsidRPr="00FE223D">
        <w:rPr>
          <w:rFonts w:ascii="Sylfaen" w:hAnsi="Sylfaen"/>
          <w:lang w:val="ka-GE"/>
        </w:rPr>
        <w:t>სხვა აპლიკანტებ</w:t>
      </w:r>
      <w:r w:rsidR="006F7566" w:rsidRPr="00FE223D">
        <w:rPr>
          <w:rFonts w:ascii="Sylfaen" w:hAnsi="Sylfaen"/>
          <w:lang w:val="ka-GE"/>
        </w:rPr>
        <w:t xml:space="preserve">თან/დასაქმებულებთან შედარებას გულისხმობს. </w:t>
      </w:r>
      <w:r w:rsidR="00643A41" w:rsidRPr="00FE223D">
        <w:rPr>
          <w:rFonts w:ascii="Sylfaen" w:hAnsi="Sylfaen"/>
          <w:lang w:val="ka-GE"/>
        </w:rPr>
        <w:t xml:space="preserve">დასაქმებულს არ აქვს უფლება, სამუშაოს შესრულების </w:t>
      </w:r>
      <w:r w:rsidR="006F7566" w:rsidRPr="00FE223D">
        <w:rPr>
          <w:rFonts w:ascii="Sylfaen" w:hAnsi="Sylfaen"/>
          <w:lang w:val="ka-GE"/>
        </w:rPr>
        <w:t>კომპეტენციის</w:t>
      </w:r>
      <w:r w:rsidR="00643A41" w:rsidRPr="00FE223D">
        <w:rPr>
          <w:rFonts w:ascii="Sylfaen" w:hAnsi="Sylfaen"/>
          <w:lang w:val="ka-GE"/>
        </w:rPr>
        <w:t xml:space="preserve"> შეზღუდვის ისეთი მიზეზები გაითვალისწინოს, რო</w:t>
      </w:r>
      <w:r w:rsidR="006931FA" w:rsidRPr="00FE223D">
        <w:rPr>
          <w:rFonts w:ascii="Sylfaen" w:hAnsi="Sylfaen"/>
          <w:lang w:val="ka-GE"/>
        </w:rPr>
        <w:t xml:space="preserve">მლებიც </w:t>
      </w:r>
      <w:r w:rsidR="00643A41" w:rsidRPr="00FE223D">
        <w:rPr>
          <w:rFonts w:ascii="Sylfaen" w:hAnsi="Sylfaen"/>
          <w:lang w:val="ka-GE"/>
        </w:rPr>
        <w:t>შეზღუდულ შესაძლებლობ</w:t>
      </w:r>
      <w:r w:rsidR="006931FA" w:rsidRPr="00FE223D">
        <w:rPr>
          <w:rFonts w:ascii="Sylfaen" w:hAnsi="Sylfaen"/>
          <w:lang w:val="ka-GE"/>
        </w:rPr>
        <w:t>ასთა</w:t>
      </w:r>
      <w:r w:rsidR="006F7566" w:rsidRPr="00FE223D">
        <w:rPr>
          <w:rFonts w:ascii="Sylfaen" w:hAnsi="Sylfaen"/>
          <w:lang w:val="ka-GE"/>
        </w:rPr>
        <w:t>ნაა კავშირში</w:t>
      </w:r>
      <w:r w:rsidR="00643A41" w:rsidRPr="00FE223D">
        <w:rPr>
          <w:rFonts w:ascii="Sylfaen" w:hAnsi="Sylfaen"/>
          <w:lang w:val="ka-GE"/>
        </w:rPr>
        <w:t xml:space="preserve">, </w:t>
      </w:r>
      <w:r w:rsidR="006931FA" w:rsidRPr="00FE223D">
        <w:rPr>
          <w:rFonts w:ascii="Sylfaen" w:hAnsi="Sylfaen"/>
          <w:lang w:val="ka-GE"/>
        </w:rPr>
        <w:t xml:space="preserve">თუ, გონივრული მისადაგების შედეგად, მისი ეფექტები შეიძლება აღმოიფხვრას ან შემცირდეს. </w:t>
      </w:r>
    </w:p>
    <w:p w14:paraId="2AE63979" w14:textId="109E23B1" w:rsidR="006931FA" w:rsidRPr="00FE223D" w:rsidRDefault="00F0037F" w:rsidP="004C65BF">
      <w:pPr>
        <w:pStyle w:val="SingleTxtG"/>
        <w:rPr>
          <w:rFonts w:ascii="Sylfaen" w:hAnsi="Sylfaen"/>
        </w:rPr>
      </w:pPr>
      <w:r w:rsidRPr="00FE223D">
        <w:rPr>
          <w:rFonts w:ascii="Sylfaen" w:hAnsi="Sylfaen"/>
        </w:rPr>
        <w:t>4.4</w:t>
      </w:r>
      <w:r w:rsidRPr="00FE223D">
        <w:rPr>
          <w:rFonts w:ascii="Sylfaen" w:hAnsi="Sylfaen"/>
        </w:rPr>
        <w:tab/>
      </w:r>
      <w:r w:rsidR="006931FA" w:rsidRPr="00FE223D">
        <w:rPr>
          <w:rFonts w:ascii="Sylfaen" w:hAnsi="Sylfaen"/>
          <w:lang w:val="ka-GE"/>
        </w:rPr>
        <w:t xml:space="preserve">სახელმწიფო მხარის მიხედვით, ღონისძიებები შეიძლება გონივრულ მისადაგებად ჩაითვალოს, თუ </w:t>
      </w:r>
      <w:r w:rsidR="006F7566" w:rsidRPr="00FE223D">
        <w:rPr>
          <w:rFonts w:ascii="Sylfaen" w:hAnsi="Sylfaen"/>
          <w:lang w:val="ka-GE"/>
        </w:rPr>
        <w:t>ოპერატორს</w:t>
      </w:r>
      <w:r w:rsidR="006931FA" w:rsidRPr="00FE223D">
        <w:rPr>
          <w:rFonts w:ascii="Sylfaen" w:hAnsi="Sylfaen"/>
          <w:lang w:val="ka-GE"/>
        </w:rPr>
        <w:t xml:space="preserve"> მისი ხარჯების დაფარვა შეუძლია</w:t>
      </w:r>
      <w:r w:rsidR="006F7566" w:rsidRPr="00FE223D">
        <w:rPr>
          <w:rFonts w:ascii="Sylfaen" w:hAnsi="Sylfaen"/>
          <w:lang w:val="ka-GE"/>
        </w:rPr>
        <w:t>;</w:t>
      </w:r>
      <w:r w:rsidR="006931FA" w:rsidRPr="00FE223D">
        <w:rPr>
          <w:rFonts w:ascii="Sylfaen" w:hAnsi="Sylfaen"/>
          <w:lang w:val="ka-GE"/>
        </w:rPr>
        <w:t xml:space="preserve"> შესაძლებელი უნდა იყოს მისი დაფინანსება რეგულარული საჯარო თუ </w:t>
      </w:r>
      <w:r w:rsidR="004C65BF" w:rsidRPr="00FE223D">
        <w:rPr>
          <w:rFonts w:ascii="Sylfaen" w:hAnsi="Sylfaen"/>
          <w:lang w:val="ka-GE"/>
        </w:rPr>
        <w:t xml:space="preserve">კერძო აქტივობების ფარგლებში. ადეკვატური ღონისძიებები, შესაძლოა, პროფესიული დამხმარე მოწყობილობების შეძენას ან სამუშაო ადგილას დამონტაჟებას მოიცავდეს. აგრეთვე, </w:t>
      </w:r>
      <w:r w:rsidR="006F7566" w:rsidRPr="00FE223D">
        <w:rPr>
          <w:rFonts w:ascii="Sylfaen" w:hAnsi="Sylfaen"/>
          <w:lang w:val="ka-GE"/>
        </w:rPr>
        <w:t>ეს</w:t>
      </w:r>
      <w:r w:rsidR="004C65BF" w:rsidRPr="00FE223D">
        <w:rPr>
          <w:rFonts w:ascii="Sylfaen" w:hAnsi="Sylfaen"/>
          <w:lang w:val="ka-GE"/>
        </w:rPr>
        <w:t xml:space="preserve"> შეიძლება სამუშაოს ორგანიზების, სამუშაო საათების ან სამუშაო </w:t>
      </w:r>
      <w:r w:rsidR="006F7566" w:rsidRPr="00FE223D">
        <w:rPr>
          <w:rFonts w:ascii="Sylfaen" w:hAnsi="Sylfaen"/>
          <w:lang w:val="ka-GE"/>
        </w:rPr>
        <w:t>ვალდებულებების</w:t>
      </w:r>
      <w:r w:rsidR="004C65BF" w:rsidRPr="00FE223D">
        <w:rPr>
          <w:rFonts w:ascii="Sylfaen" w:hAnsi="Sylfaen"/>
          <w:lang w:val="ka-GE"/>
        </w:rPr>
        <w:t xml:space="preserve"> ცვლილებებს</w:t>
      </w:r>
      <w:r w:rsidR="006F7566" w:rsidRPr="00FE223D">
        <w:rPr>
          <w:rFonts w:ascii="Sylfaen" w:hAnsi="Sylfaen"/>
          <w:lang w:val="ka-GE"/>
        </w:rPr>
        <w:t xml:space="preserve"> </w:t>
      </w:r>
      <w:r w:rsidR="006F7566" w:rsidRPr="00FE223D">
        <w:rPr>
          <w:rFonts w:ascii="Sylfaen" w:hAnsi="Sylfaen"/>
          <w:lang w:val="ka-GE"/>
        </w:rPr>
        <w:t>გულისხმობდეს</w:t>
      </w:r>
      <w:r w:rsidR="004C65BF" w:rsidRPr="00FE223D">
        <w:rPr>
          <w:rFonts w:ascii="Sylfaen" w:hAnsi="Sylfaen"/>
          <w:lang w:val="ka-GE"/>
        </w:rPr>
        <w:t xml:space="preserve">.  </w:t>
      </w:r>
    </w:p>
    <w:p w14:paraId="41751C2E" w14:textId="363C57F6" w:rsidR="004C65BF" w:rsidRPr="00FE223D" w:rsidRDefault="00F0037F" w:rsidP="007743BA">
      <w:pPr>
        <w:pStyle w:val="SingleTxtG"/>
        <w:rPr>
          <w:rFonts w:ascii="Sylfaen" w:hAnsi="Sylfaen"/>
        </w:rPr>
      </w:pPr>
      <w:r w:rsidRPr="00FE223D">
        <w:rPr>
          <w:rFonts w:ascii="Sylfaen" w:hAnsi="Sylfaen"/>
        </w:rPr>
        <w:t>4.5</w:t>
      </w:r>
      <w:r w:rsidR="007743BA" w:rsidRPr="00FE223D">
        <w:rPr>
          <w:rFonts w:ascii="Sylfaen" w:hAnsi="Sylfaen"/>
          <w:lang w:val="ka-GE"/>
        </w:rPr>
        <w:t xml:space="preserve">  </w:t>
      </w:r>
      <w:r w:rsidR="004C65BF" w:rsidRPr="00FE223D">
        <w:rPr>
          <w:rFonts w:ascii="Sylfaen" w:hAnsi="Sylfaen"/>
          <w:lang w:val="ka-GE"/>
        </w:rPr>
        <w:t>თანას</w:t>
      </w:r>
      <w:r w:rsidR="007743BA" w:rsidRPr="00FE223D">
        <w:rPr>
          <w:rFonts w:ascii="Sylfaen" w:hAnsi="Sylfaen"/>
          <w:lang w:val="ka-GE"/>
        </w:rPr>
        <w:t xml:space="preserve">წორობის </w:t>
      </w:r>
      <w:r w:rsidR="00440EF1" w:rsidRPr="00FE223D">
        <w:rPr>
          <w:rFonts w:ascii="Sylfaen" w:hAnsi="Sylfaen"/>
          <w:lang w:val="ka-GE"/>
        </w:rPr>
        <w:t>ომბუდსმე</w:t>
      </w:r>
      <w:r w:rsidR="007743BA" w:rsidRPr="00FE223D">
        <w:rPr>
          <w:rFonts w:ascii="Sylfaen" w:hAnsi="Sylfaen"/>
          <w:lang w:val="ka-GE"/>
        </w:rPr>
        <w:t xml:space="preserve">ნი დისკრიმინაციის კანონთან შესაბამისობის მონიტორინგზეა პასუხისმგებელი. მას შეუძლია სამართლებრივი ქმედებაც განახორციელოს იმ ადამიანის სახელით, ვინც მიიჩნევს, რომ დისკრიმინაციის მსხვერპლია. ეს პროცედურა უფასოა ადამიანისთვის. ასევე, </w:t>
      </w:r>
      <w:r w:rsidR="00440EF1" w:rsidRPr="00FE223D">
        <w:rPr>
          <w:rFonts w:ascii="Sylfaen" w:hAnsi="Sylfaen"/>
          <w:lang w:val="ka-GE"/>
        </w:rPr>
        <w:t>ომბუდსმე</w:t>
      </w:r>
      <w:r w:rsidR="007743BA" w:rsidRPr="00FE223D">
        <w:rPr>
          <w:rFonts w:ascii="Sylfaen" w:hAnsi="Sylfaen"/>
          <w:lang w:val="ka-GE"/>
        </w:rPr>
        <w:t xml:space="preserve">ნი პასუხისმგებელია, რომ </w:t>
      </w:r>
      <w:r w:rsidR="006F7566" w:rsidRPr="00FE223D">
        <w:rPr>
          <w:rFonts w:ascii="Sylfaen" w:hAnsi="Sylfaen"/>
          <w:lang w:val="ka-GE"/>
        </w:rPr>
        <w:t xml:space="preserve">არ მოხდეს დისკრიმინაცია </w:t>
      </w:r>
      <w:r w:rsidR="007743BA" w:rsidRPr="00FE223D">
        <w:rPr>
          <w:rFonts w:ascii="Sylfaen" w:hAnsi="Sylfaen"/>
          <w:lang w:val="ka-GE"/>
        </w:rPr>
        <w:t>შეზღუდულ</w:t>
      </w:r>
      <w:r w:rsidR="006F7566" w:rsidRPr="00FE223D">
        <w:rPr>
          <w:rFonts w:ascii="Sylfaen" w:hAnsi="Sylfaen"/>
          <w:lang w:val="ka-GE"/>
        </w:rPr>
        <w:t>ი</w:t>
      </w:r>
      <w:r w:rsidR="007743BA" w:rsidRPr="00FE223D">
        <w:rPr>
          <w:rFonts w:ascii="Sylfaen" w:hAnsi="Sylfaen"/>
          <w:lang w:val="ka-GE"/>
        </w:rPr>
        <w:t xml:space="preserve"> შესაძლებლობ</w:t>
      </w:r>
      <w:r w:rsidR="006F7566" w:rsidRPr="00FE223D">
        <w:rPr>
          <w:rFonts w:ascii="Sylfaen" w:hAnsi="Sylfaen"/>
          <w:lang w:val="ka-GE"/>
        </w:rPr>
        <w:t xml:space="preserve">ის საფუძველზე </w:t>
      </w:r>
      <w:r w:rsidR="007743BA" w:rsidRPr="00FE223D">
        <w:rPr>
          <w:rFonts w:ascii="Sylfaen" w:hAnsi="Sylfaen"/>
          <w:lang w:val="ka-GE"/>
        </w:rPr>
        <w:t xml:space="preserve">და შშმ პირები, შეზღუდული შესაძლებლობის მიუხედავად, თანაბარი უფლებებითა და პერსპექტივებით სარგებლობდნენ. </w:t>
      </w:r>
    </w:p>
    <w:p w14:paraId="61AFD511" w14:textId="34918DF4" w:rsidR="00C3773D" w:rsidRPr="00FE223D" w:rsidRDefault="00F0037F" w:rsidP="00D73E7A">
      <w:pPr>
        <w:pStyle w:val="SingleTxtG"/>
        <w:rPr>
          <w:rFonts w:ascii="Sylfaen" w:hAnsi="Sylfaen"/>
        </w:rPr>
      </w:pPr>
      <w:r w:rsidRPr="00FE223D">
        <w:rPr>
          <w:rFonts w:ascii="Sylfaen" w:hAnsi="Sylfaen"/>
        </w:rPr>
        <w:t>4.6</w:t>
      </w:r>
      <w:r w:rsidRPr="00FE223D">
        <w:rPr>
          <w:rFonts w:ascii="Sylfaen" w:hAnsi="Sylfaen"/>
        </w:rPr>
        <w:tab/>
      </w:r>
      <w:r w:rsidR="00F51D1E" w:rsidRPr="00FE223D">
        <w:rPr>
          <w:rFonts w:ascii="Sylfaen" w:hAnsi="Sylfaen"/>
          <w:lang w:val="ka-GE"/>
        </w:rPr>
        <w:t xml:space="preserve">დისკრიმინაციის </w:t>
      </w:r>
      <w:r w:rsidR="00D9638F" w:rsidRPr="00FE223D">
        <w:rPr>
          <w:rFonts w:ascii="Sylfaen" w:hAnsi="Sylfaen"/>
          <w:lang w:val="ka-GE"/>
        </w:rPr>
        <w:t xml:space="preserve">შესახებ </w:t>
      </w:r>
      <w:r w:rsidR="00F51D1E" w:rsidRPr="00FE223D">
        <w:rPr>
          <w:rFonts w:ascii="Sylfaen" w:hAnsi="Sylfaen"/>
          <w:lang w:val="ka-GE"/>
        </w:rPr>
        <w:t xml:space="preserve">კანონის მეექვსე თავი კანონმდებლობით გათვალისწინებული დავების დროს გამოსაყენებელი პროცედურული წესების შესახებ დებულებებს მოიცავს. დავები „შრომითი დავების სასამართლო პროცესის შესახებ“ კანონის შესაბამისად განიხილება პირდაპირ შრომის სასამართლოში, როგორც პირველ და ერთადერთ ინსტანციაში </w:t>
      </w:r>
      <w:r w:rsidR="0095571D" w:rsidRPr="00FE223D">
        <w:rPr>
          <w:rFonts w:ascii="Sylfaen" w:hAnsi="Sylfaen"/>
          <w:lang w:val="ka-GE"/>
        </w:rPr>
        <w:t>(</w:t>
      </w:r>
      <w:r w:rsidR="00F51D1E" w:rsidRPr="00FE223D">
        <w:rPr>
          <w:rFonts w:ascii="Sylfaen" w:hAnsi="Sylfaen"/>
          <w:lang w:val="ka-GE"/>
        </w:rPr>
        <w:t xml:space="preserve">როგორც </w:t>
      </w:r>
      <w:r w:rsidR="00F51D1E" w:rsidRPr="00FE223D">
        <w:rPr>
          <w:rFonts w:ascii="Sylfaen" w:hAnsi="Sylfaen"/>
          <w:lang w:val="ka-GE"/>
        </w:rPr>
        <w:lastRenderedPageBreak/>
        <w:t>მოცემულ შემთხვევაში</w:t>
      </w:r>
      <w:r w:rsidR="0095571D" w:rsidRPr="00FE223D">
        <w:rPr>
          <w:rFonts w:ascii="Sylfaen" w:hAnsi="Sylfaen"/>
          <w:lang w:val="ka-GE"/>
        </w:rPr>
        <w:t xml:space="preserve">) </w:t>
      </w:r>
      <w:r w:rsidR="00F51D1E" w:rsidRPr="00FE223D">
        <w:rPr>
          <w:rFonts w:ascii="Sylfaen" w:hAnsi="Sylfaen"/>
          <w:lang w:val="ka-GE"/>
        </w:rPr>
        <w:t>ან რ</w:t>
      </w:r>
      <w:r w:rsidR="00C3773D" w:rsidRPr="00FE223D">
        <w:rPr>
          <w:rFonts w:ascii="Sylfaen" w:hAnsi="Sylfaen"/>
          <w:lang w:val="ka-GE"/>
        </w:rPr>
        <w:t>აიონულ</w:t>
      </w:r>
      <w:r w:rsidR="00F51D1E" w:rsidRPr="00FE223D">
        <w:rPr>
          <w:rFonts w:ascii="Sylfaen" w:hAnsi="Sylfaen"/>
          <w:lang w:val="ka-GE"/>
        </w:rPr>
        <w:t xml:space="preserve"> სასამართლოში</w:t>
      </w:r>
      <w:r w:rsidR="00C3773D" w:rsidRPr="00FE223D">
        <w:rPr>
          <w:rFonts w:ascii="Sylfaen" w:hAnsi="Sylfaen"/>
          <w:lang w:val="ka-GE"/>
        </w:rPr>
        <w:t xml:space="preserve">, შრომის სასამართლოში გასაჩივრების შესაძლებლობით. </w:t>
      </w:r>
      <w:r w:rsidR="00F51D1E" w:rsidRPr="00FE223D">
        <w:rPr>
          <w:rFonts w:ascii="Sylfaen" w:hAnsi="Sylfaen"/>
          <w:lang w:val="ka-GE"/>
        </w:rPr>
        <w:t xml:space="preserve"> </w:t>
      </w:r>
    </w:p>
    <w:p w14:paraId="235BBA10" w14:textId="23A0858D" w:rsidR="00C3773D" w:rsidRPr="00FE223D" w:rsidRDefault="00F0037F" w:rsidP="00D73E7A">
      <w:pPr>
        <w:pStyle w:val="SingleTxtG"/>
        <w:rPr>
          <w:rFonts w:ascii="Sylfaen" w:hAnsi="Sylfaen"/>
        </w:rPr>
      </w:pPr>
      <w:r w:rsidRPr="00FE223D">
        <w:rPr>
          <w:rFonts w:ascii="Sylfaen" w:hAnsi="Sylfaen"/>
        </w:rPr>
        <w:t>4.7</w:t>
      </w:r>
      <w:r w:rsidRPr="00FE223D">
        <w:rPr>
          <w:rFonts w:ascii="Sylfaen" w:hAnsi="Sylfaen"/>
        </w:rPr>
        <w:tab/>
      </w:r>
      <w:r w:rsidR="00C3773D" w:rsidRPr="00FE223D">
        <w:rPr>
          <w:rFonts w:ascii="Sylfaen" w:hAnsi="Sylfaen"/>
          <w:lang w:val="ka-GE"/>
        </w:rPr>
        <w:t xml:space="preserve">შვედეთის დისკრიმინაციისგან </w:t>
      </w:r>
      <w:r w:rsidR="0095571D" w:rsidRPr="00FE223D">
        <w:rPr>
          <w:rFonts w:ascii="Sylfaen" w:hAnsi="Sylfaen"/>
          <w:lang w:val="ka-GE"/>
        </w:rPr>
        <w:t xml:space="preserve">დაცვა </w:t>
      </w:r>
      <w:r w:rsidR="00C3773D" w:rsidRPr="00FE223D">
        <w:rPr>
          <w:rFonts w:ascii="Sylfaen" w:hAnsi="Sylfaen"/>
          <w:lang w:val="ka-GE"/>
        </w:rPr>
        <w:t>დაფუძნებულია ევროკავშირის სხვადასხვა დირექტივაზე დისკრიმინაციის დაუშვებლობასთან დაკავშირებით. მათგან ერთ-ერთია საბჭოს 2000 წლის 27 ნოემბრის დირექტივა 2000/78/</w:t>
      </w:r>
      <w:r w:rsidR="00C3773D" w:rsidRPr="00FE223D">
        <w:rPr>
          <w:rFonts w:ascii="Sylfaen" w:hAnsi="Sylfaen"/>
          <w:lang w:val="en-US"/>
        </w:rPr>
        <w:t xml:space="preserve">EC, </w:t>
      </w:r>
      <w:r w:rsidR="00C3773D" w:rsidRPr="00FE223D">
        <w:rPr>
          <w:rFonts w:ascii="Sylfaen" w:hAnsi="Sylfaen"/>
          <w:lang w:val="ka-GE"/>
        </w:rPr>
        <w:t xml:space="preserve">რომელიც დასაქმებასა და პროფესიულ საქმიანობაში თანასწორი მოპყრობის ზოგად ჩარჩოს ადგენს. ეს დირექტივა შვედურ კანონმდებლობაში, </w:t>
      </w:r>
      <w:r w:rsidR="00C3773D" w:rsidRPr="00FE223D">
        <w:rPr>
          <w:rFonts w:ascii="Sylfaen" w:hAnsi="Sylfaen"/>
          <w:i/>
          <w:iCs/>
          <w:lang w:val="en-US"/>
        </w:rPr>
        <w:t>inter alia</w:t>
      </w:r>
      <w:r w:rsidR="00C3773D" w:rsidRPr="00FE223D">
        <w:rPr>
          <w:rFonts w:ascii="Sylfaen" w:hAnsi="Sylfaen"/>
          <w:lang w:val="en-US"/>
        </w:rPr>
        <w:t xml:space="preserve">, </w:t>
      </w:r>
      <w:r w:rsidR="00C3773D" w:rsidRPr="00FE223D">
        <w:rPr>
          <w:rFonts w:ascii="Sylfaen" w:hAnsi="Sylfaen"/>
          <w:lang w:val="ka-GE"/>
        </w:rPr>
        <w:t xml:space="preserve">დისკრიმინაციის </w:t>
      </w:r>
      <w:r w:rsidR="00D9638F" w:rsidRPr="00FE223D">
        <w:rPr>
          <w:rFonts w:ascii="Sylfaen" w:hAnsi="Sylfaen"/>
          <w:lang w:val="ka-GE"/>
        </w:rPr>
        <w:t xml:space="preserve">შესახებ </w:t>
      </w:r>
      <w:r w:rsidR="00C3773D" w:rsidRPr="00FE223D">
        <w:rPr>
          <w:rFonts w:ascii="Sylfaen" w:hAnsi="Sylfaen"/>
          <w:lang w:val="ka-GE"/>
        </w:rPr>
        <w:t xml:space="preserve">კანონის </w:t>
      </w:r>
      <w:r w:rsidR="00342833" w:rsidRPr="00FE223D">
        <w:rPr>
          <w:rFonts w:ascii="Sylfaen" w:hAnsi="Sylfaen"/>
          <w:lang w:val="ka-GE"/>
        </w:rPr>
        <w:t>მეშვეობითაც განხორციელდა. ამ კანონის მე-5 მუხლის მიხედვით, დამსაქმებელმა</w:t>
      </w:r>
      <w:r w:rsidR="0095571D" w:rsidRPr="00FE223D">
        <w:rPr>
          <w:rFonts w:ascii="Sylfaen" w:hAnsi="Sylfaen"/>
          <w:lang w:val="ka-GE"/>
        </w:rPr>
        <w:t xml:space="preserve"> (</w:t>
      </w:r>
      <w:r w:rsidR="0095571D" w:rsidRPr="00FE223D">
        <w:rPr>
          <w:rFonts w:ascii="Sylfaen" w:hAnsi="Sylfaen"/>
          <w:lang w:val="ka-GE"/>
        </w:rPr>
        <w:t>როდესაც ეს საჭიროა</w:t>
      </w:r>
      <w:r w:rsidR="0095571D" w:rsidRPr="00FE223D">
        <w:rPr>
          <w:rFonts w:ascii="Sylfaen" w:hAnsi="Sylfaen"/>
          <w:lang w:val="ka-GE"/>
        </w:rPr>
        <w:t>)</w:t>
      </w:r>
      <w:r w:rsidR="00342833" w:rsidRPr="00FE223D">
        <w:rPr>
          <w:rFonts w:ascii="Sylfaen" w:hAnsi="Sylfaen"/>
          <w:lang w:val="ka-GE"/>
        </w:rPr>
        <w:t xml:space="preserve"> შესაბამისი ზომები უნდა მიიღოს, რომ შეზღუდული შესაძლებლობის პირს</w:t>
      </w:r>
      <w:r w:rsidR="0095571D" w:rsidRPr="00FE223D">
        <w:rPr>
          <w:rFonts w:ascii="Sylfaen" w:hAnsi="Sylfaen"/>
          <w:lang w:val="ka-GE"/>
        </w:rPr>
        <w:t xml:space="preserve"> დასაქმებაში მონაწილეობაზე, დაწინაურებაზე, ან ტრენინგის გავლაზე </w:t>
      </w:r>
      <w:r w:rsidR="0095571D" w:rsidRPr="00FE223D">
        <w:rPr>
          <w:rFonts w:ascii="Sylfaen" w:hAnsi="Sylfaen"/>
          <w:lang w:val="ka-GE"/>
        </w:rPr>
        <w:t>ჰქონდეს</w:t>
      </w:r>
      <w:r w:rsidR="0095571D" w:rsidRPr="00FE223D">
        <w:rPr>
          <w:rFonts w:ascii="Sylfaen" w:hAnsi="Sylfaen"/>
          <w:lang w:val="ka-GE"/>
        </w:rPr>
        <w:t xml:space="preserve"> წვდომა</w:t>
      </w:r>
      <w:r w:rsidR="00342833" w:rsidRPr="00FE223D">
        <w:rPr>
          <w:rFonts w:ascii="Sylfaen" w:hAnsi="Sylfaen"/>
          <w:lang w:val="ka-GE"/>
        </w:rPr>
        <w:t xml:space="preserve">, </w:t>
      </w:r>
      <w:r w:rsidR="005C5957" w:rsidRPr="00FE223D">
        <w:rPr>
          <w:rFonts w:ascii="Sylfaen" w:hAnsi="Sylfaen"/>
          <w:lang w:val="ka-GE"/>
        </w:rPr>
        <w:t>სანამ ასეთი ღონისძიებები</w:t>
      </w:r>
      <w:r w:rsidR="0095571D" w:rsidRPr="00FE223D">
        <w:rPr>
          <w:rFonts w:ascii="Sylfaen" w:hAnsi="Sylfaen"/>
          <w:lang w:val="ka-GE"/>
        </w:rPr>
        <w:t xml:space="preserve"> დამსაქმებელზე</w:t>
      </w:r>
      <w:r w:rsidR="005C5957" w:rsidRPr="00FE223D">
        <w:rPr>
          <w:rFonts w:ascii="Sylfaen" w:hAnsi="Sylfaen"/>
          <w:lang w:val="ka-GE"/>
        </w:rPr>
        <w:t xml:space="preserve"> არაპროპორციული ტვირთი </w:t>
      </w:r>
      <w:r w:rsidR="0095571D" w:rsidRPr="00FE223D">
        <w:rPr>
          <w:rFonts w:ascii="Sylfaen" w:hAnsi="Sylfaen"/>
          <w:lang w:val="ka-GE"/>
        </w:rPr>
        <w:t xml:space="preserve">არ </w:t>
      </w:r>
      <w:r w:rsidR="005C5957" w:rsidRPr="00FE223D">
        <w:rPr>
          <w:rFonts w:ascii="Sylfaen" w:hAnsi="Sylfaen"/>
          <w:lang w:val="ka-GE"/>
        </w:rPr>
        <w:t>იქნება. 21</w:t>
      </w:r>
      <w:r w:rsidR="0095571D" w:rsidRPr="00FE223D">
        <w:rPr>
          <w:rFonts w:ascii="Sylfaen" w:hAnsi="Sylfaen"/>
          <w:lang w:val="ka-GE"/>
        </w:rPr>
        <w:t>-</w:t>
      </w:r>
      <w:r w:rsidR="005C5957" w:rsidRPr="00FE223D">
        <w:rPr>
          <w:rFonts w:ascii="Sylfaen" w:hAnsi="Sylfaen"/>
          <w:lang w:val="ka-GE"/>
        </w:rPr>
        <w:t>ე პუნქტში ნათქვამია, რომ იმის განსა</w:t>
      </w:r>
      <w:r w:rsidR="00D73E7A" w:rsidRPr="00FE223D">
        <w:rPr>
          <w:rFonts w:ascii="Sylfaen" w:hAnsi="Sylfaen"/>
          <w:lang w:val="ka-GE"/>
        </w:rPr>
        <w:t>სა</w:t>
      </w:r>
      <w:r w:rsidR="005C5957" w:rsidRPr="00FE223D">
        <w:rPr>
          <w:rFonts w:ascii="Sylfaen" w:hAnsi="Sylfaen"/>
          <w:lang w:val="ka-GE"/>
        </w:rPr>
        <w:t>ზღვრა</w:t>
      </w:r>
      <w:r w:rsidR="00D73E7A" w:rsidRPr="00FE223D">
        <w:rPr>
          <w:rFonts w:ascii="Sylfaen" w:hAnsi="Sylfaen"/>
          <w:lang w:val="ka-GE"/>
        </w:rPr>
        <w:t>დ</w:t>
      </w:r>
      <w:r w:rsidR="005C5957" w:rsidRPr="00FE223D">
        <w:rPr>
          <w:rFonts w:ascii="Sylfaen" w:hAnsi="Sylfaen"/>
          <w:lang w:val="ka-GE"/>
        </w:rPr>
        <w:t xml:space="preserve">, თუ რამდენად წარმოშობს აუცილებელი ღონისძიებები არაპროპორციულ ტვირთს, </w:t>
      </w:r>
      <w:r w:rsidR="00D73E7A" w:rsidRPr="00FE223D">
        <w:rPr>
          <w:rFonts w:ascii="Sylfaen" w:hAnsi="Sylfaen"/>
          <w:lang w:val="ka-GE"/>
        </w:rPr>
        <w:t xml:space="preserve">საჭიროა ფინანსური და სხვა დანახარჯების, ორგანიზაციის ან საწარმოს მასშტაბის და ფინანსური რესურსების, ან საჯარო დაფინანსების/სხვა ტიპის დახმარების მოპოვების შესაძლებლობის გათვალისწინება. </w:t>
      </w:r>
    </w:p>
    <w:p w14:paraId="22E6D689" w14:textId="1CA679B4" w:rsidR="00C1588A" w:rsidRPr="00FE223D" w:rsidRDefault="00F0037F" w:rsidP="00555424">
      <w:pPr>
        <w:pStyle w:val="SingleTxtG"/>
        <w:rPr>
          <w:rFonts w:ascii="Sylfaen" w:hAnsi="Sylfaen"/>
          <w:lang w:val="ka-GE"/>
        </w:rPr>
      </w:pPr>
      <w:r w:rsidRPr="00FE223D">
        <w:rPr>
          <w:rFonts w:ascii="Sylfaen" w:hAnsi="Sylfaen"/>
        </w:rPr>
        <w:t>4.8</w:t>
      </w:r>
      <w:r w:rsidRPr="00FE223D">
        <w:rPr>
          <w:rFonts w:ascii="Sylfaen" w:hAnsi="Sylfaen"/>
        </w:rPr>
        <w:tab/>
      </w:r>
      <w:r w:rsidR="001E7EE1" w:rsidRPr="00FE223D">
        <w:rPr>
          <w:rFonts w:ascii="Sylfaen" w:hAnsi="Sylfaen"/>
          <w:lang w:val="ka-GE"/>
        </w:rPr>
        <w:t>მოცემულ საქმეში, შრომის სასამართლომ თარჯიმნის ხარჯები გამოითვალა, ხელფასის სუბსიდირებისა და ყოველდღიურ ინტერპრეტაციაში</w:t>
      </w:r>
      <w:r w:rsidR="001E7EE1" w:rsidRPr="00FE223D">
        <w:rPr>
          <w:rStyle w:val="FootnoteReference"/>
          <w:rFonts w:ascii="Sylfaen" w:hAnsi="Sylfaen"/>
        </w:rPr>
        <w:footnoteReference w:id="9"/>
      </w:r>
      <w:r w:rsidR="00780D00" w:rsidRPr="00FE223D">
        <w:rPr>
          <w:rFonts w:ascii="Sylfaen" w:hAnsi="Sylfaen"/>
          <w:lang w:val="ka-GE"/>
        </w:rPr>
        <w:t xml:space="preserve"> მხარდაჭერის ჩათვლით. </w:t>
      </w:r>
      <w:r w:rsidR="0095571D" w:rsidRPr="00FE223D">
        <w:rPr>
          <w:rFonts w:ascii="Sylfaen" w:hAnsi="Sylfaen"/>
          <w:lang w:val="ka-GE"/>
        </w:rPr>
        <w:t xml:space="preserve">შესაძლებელია, </w:t>
      </w:r>
      <w:r w:rsidR="00780D00" w:rsidRPr="00FE223D">
        <w:rPr>
          <w:rFonts w:ascii="Sylfaen" w:hAnsi="Sylfaen"/>
          <w:lang w:val="ka-GE"/>
        </w:rPr>
        <w:t>ეს უკანასკნელი</w:t>
      </w:r>
      <w:r w:rsidR="001E7EE1" w:rsidRPr="00FE223D">
        <w:rPr>
          <w:rFonts w:ascii="Sylfaen" w:hAnsi="Sylfaen"/>
          <w:lang w:val="ka-GE"/>
        </w:rPr>
        <w:t xml:space="preserve"> შვედეთის </w:t>
      </w:r>
      <w:r w:rsidR="00780D00" w:rsidRPr="00FE223D">
        <w:rPr>
          <w:rFonts w:ascii="Sylfaen" w:hAnsi="Sylfaen"/>
          <w:lang w:val="ka-GE"/>
        </w:rPr>
        <w:t xml:space="preserve">საჯარო </w:t>
      </w:r>
      <w:r w:rsidR="001E7EE1" w:rsidRPr="00FE223D">
        <w:rPr>
          <w:rFonts w:ascii="Sylfaen" w:hAnsi="Sylfaen"/>
          <w:lang w:val="ka-GE"/>
        </w:rPr>
        <w:t xml:space="preserve">დასაქმების </w:t>
      </w:r>
      <w:r w:rsidR="00780D00" w:rsidRPr="00FE223D">
        <w:rPr>
          <w:rFonts w:ascii="Sylfaen" w:hAnsi="Sylfaen"/>
          <w:lang w:val="ka-GE"/>
        </w:rPr>
        <w:t>სერვისმა</w:t>
      </w:r>
      <w:r w:rsidR="001E7EE1" w:rsidRPr="00FE223D">
        <w:rPr>
          <w:rFonts w:ascii="Sylfaen" w:hAnsi="Sylfaen"/>
          <w:lang w:val="ka-GE"/>
        </w:rPr>
        <w:t xml:space="preserve"> </w:t>
      </w:r>
      <w:r w:rsidR="00780D00" w:rsidRPr="00FE223D">
        <w:rPr>
          <w:rFonts w:ascii="Sylfaen" w:hAnsi="Sylfaen"/>
          <w:lang w:val="ka-GE"/>
        </w:rPr>
        <w:t>უზრუნველყოს</w:t>
      </w:r>
      <w:r w:rsidR="001E7EE1" w:rsidRPr="00FE223D">
        <w:rPr>
          <w:rFonts w:ascii="Sylfaen" w:hAnsi="Sylfaen"/>
          <w:lang w:val="ka-GE"/>
        </w:rPr>
        <w:t xml:space="preserve">, </w:t>
      </w:r>
      <w:r w:rsidR="00780D00" w:rsidRPr="00FE223D">
        <w:rPr>
          <w:rFonts w:ascii="Sylfaen" w:hAnsi="Sylfaen" w:cs="Sylfaen"/>
        </w:rPr>
        <w:t>სპეციალური</w:t>
      </w:r>
      <w:r w:rsidR="00780D00" w:rsidRPr="00FE223D">
        <w:rPr>
          <w:rFonts w:ascii="Sylfaen" w:hAnsi="Sylfaen"/>
        </w:rPr>
        <w:t xml:space="preserve"> </w:t>
      </w:r>
      <w:r w:rsidR="00780D00" w:rsidRPr="00FE223D">
        <w:rPr>
          <w:rFonts w:ascii="Sylfaen" w:hAnsi="Sylfaen" w:cs="Sylfaen"/>
        </w:rPr>
        <w:t>ზომების</w:t>
      </w:r>
      <w:r w:rsidR="00780D00" w:rsidRPr="00FE223D">
        <w:rPr>
          <w:rFonts w:ascii="Sylfaen" w:hAnsi="Sylfaen"/>
        </w:rPr>
        <w:t xml:space="preserve"> </w:t>
      </w:r>
      <w:r w:rsidR="00780D00" w:rsidRPr="00FE223D">
        <w:rPr>
          <w:rFonts w:ascii="Sylfaen" w:hAnsi="Sylfaen" w:cs="Sylfaen"/>
        </w:rPr>
        <w:t>შესახებ</w:t>
      </w:r>
      <w:r w:rsidR="00780D00" w:rsidRPr="00FE223D">
        <w:rPr>
          <w:rFonts w:ascii="Sylfaen" w:hAnsi="Sylfaen"/>
        </w:rPr>
        <w:t xml:space="preserve"> </w:t>
      </w:r>
      <w:r w:rsidR="00780D00" w:rsidRPr="00FE223D">
        <w:rPr>
          <w:rFonts w:ascii="Sylfaen" w:hAnsi="Sylfaen" w:cs="Sylfaen"/>
        </w:rPr>
        <w:t>დებულების</w:t>
      </w:r>
      <w:r w:rsidR="00780D00" w:rsidRPr="00FE223D">
        <w:rPr>
          <w:rFonts w:ascii="Sylfaen" w:hAnsi="Sylfaen"/>
        </w:rPr>
        <w:t xml:space="preserve"> </w:t>
      </w:r>
      <w:r w:rsidR="00712CA3" w:rsidRPr="00FE223D">
        <w:rPr>
          <w:rFonts w:ascii="Sylfaen" w:hAnsi="Sylfaen"/>
          <w:lang w:val="ka-GE"/>
        </w:rPr>
        <w:t xml:space="preserve">- </w:t>
      </w:r>
      <w:r w:rsidR="00780D00" w:rsidRPr="00FE223D">
        <w:rPr>
          <w:rFonts w:ascii="Sylfaen" w:hAnsi="Sylfaen"/>
        </w:rPr>
        <w:t>„</w:t>
      </w:r>
      <w:r w:rsidR="00780D00" w:rsidRPr="00FE223D">
        <w:rPr>
          <w:rFonts w:ascii="Sylfaen" w:hAnsi="Sylfaen"/>
          <w:lang w:val="ka-GE"/>
        </w:rPr>
        <w:t xml:space="preserve">შეზღუდული შესაძლებლობის მქონე </w:t>
      </w:r>
      <w:r w:rsidR="00780D00" w:rsidRPr="00FE223D">
        <w:rPr>
          <w:rFonts w:ascii="Sylfaen" w:hAnsi="Sylfaen" w:cs="Sylfaen"/>
        </w:rPr>
        <w:t>პირთათვის</w:t>
      </w:r>
      <w:r w:rsidR="00780D00" w:rsidRPr="00FE223D">
        <w:rPr>
          <w:rFonts w:ascii="Sylfaen" w:hAnsi="Sylfaen"/>
        </w:rPr>
        <w:t xml:space="preserve">, </w:t>
      </w:r>
      <w:r w:rsidR="00780D00" w:rsidRPr="00FE223D">
        <w:rPr>
          <w:rFonts w:ascii="Sylfaen" w:hAnsi="Sylfaen" w:cs="Sylfaen"/>
        </w:rPr>
        <w:t>რ</w:t>
      </w:r>
      <w:r w:rsidR="0095571D" w:rsidRPr="00FE223D">
        <w:rPr>
          <w:rFonts w:ascii="Sylfaen" w:hAnsi="Sylfaen" w:cs="Sylfaen"/>
          <w:lang w:val="ka-GE"/>
        </w:rPr>
        <w:t>აც</w:t>
      </w:r>
      <w:r w:rsidR="00780D00" w:rsidRPr="00FE223D">
        <w:rPr>
          <w:rFonts w:ascii="Sylfaen" w:hAnsi="Sylfaen"/>
        </w:rPr>
        <w:t xml:space="preserve"> </w:t>
      </w:r>
      <w:r w:rsidR="00A0140A" w:rsidRPr="00FE223D">
        <w:rPr>
          <w:rFonts w:ascii="Sylfaen" w:hAnsi="Sylfaen" w:cs="Sylfaen"/>
          <w:lang w:val="ka-GE"/>
        </w:rPr>
        <w:t>ხელს უშლის</w:t>
      </w:r>
      <w:r w:rsidR="00780D00" w:rsidRPr="00FE223D">
        <w:rPr>
          <w:rFonts w:ascii="Sylfaen" w:hAnsi="Sylfaen"/>
        </w:rPr>
        <w:t xml:space="preserve"> </w:t>
      </w:r>
      <w:r w:rsidR="00780D00" w:rsidRPr="00FE223D">
        <w:rPr>
          <w:rFonts w:ascii="Sylfaen" w:hAnsi="Sylfaen" w:cs="Sylfaen"/>
        </w:rPr>
        <w:t>მათ</w:t>
      </w:r>
      <w:r w:rsidR="0095571D" w:rsidRPr="00FE223D">
        <w:rPr>
          <w:rFonts w:ascii="Sylfaen" w:hAnsi="Sylfaen"/>
          <w:lang w:val="ka-GE"/>
        </w:rPr>
        <w:t xml:space="preserve"> ნაყოფიერ</w:t>
      </w:r>
      <w:r w:rsidR="00780D00" w:rsidRPr="00FE223D">
        <w:rPr>
          <w:rFonts w:ascii="Sylfaen" w:hAnsi="Sylfaen"/>
          <w:lang w:val="ka-GE"/>
        </w:rPr>
        <w:t xml:space="preserve"> მუშაობ</w:t>
      </w:r>
      <w:r w:rsidR="0095571D" w:rsidRPr="00FE223D">
        <w:rPr>
          <w:rFonts w:ascii="Sylfaen" w:hAnsi="Sylfaen"/>
          <w:lang w:val="ka-GE"/>
        </w:rPr>
        <w:t>ა</w:t>
      </w:r>
      <w:r w:rsidR="00780D00" w:rsidRPr="00FE223D">
        <w:rPr>
          <w:rFonts w:ascii="Sylfaen" w:hAnsi="Sylfaen"/>
          <w:lang w:val="ka-GE"/>
        </w:rPr>
        <w:t>ს</w:t>
      </w:r>
      <w:r w:rsidR="00712CA3" w:rsidRPr="00FE223D">
        <w:rPr>
          <w:rFonts w:ascii="Sylfaen" w:hAnsi="Sylfaen"/>
          <w:lang w:val="ka-GE"/>
        </w:rPr>
        <w:t xml:space="preserve"> და მათთვის, ვინც დასაქმებას ან სამუშაოს შენარჩუნების პერსპექტივის გაძლიერებას</w:t>
      </w:r>
      <w:r w:rsidR="0095571D" w:rsidRPr="00FE223D">
        <w:rPr>
          <w:rFonts w:ascii="Sylfaen" w:hAnsi="Sylfaen"/>
          <w:lang w:val="ka-GE"/>
        </w:rPr>
        <w:t xml:space="preserve"> საჭიროებს</w:t>
      </w:r>
      <w:r w:rsidR="00712CA3" w:rsidRPr="00FE223D">
        <w:rPr>
          <w:rFonts w:ascii="Sylfaen" w:hAnsi="Sylfaen"/>
          <w:lang w:val="ka-GE"/>
        </w:rPr>
        <w:t>“</w:t>
      </w:r>
      <w:r w:rsidR="00712CA3" w:rsidRPr="00FE223D">
        <w:rPr>
          <w:rStyle w:val="FootnoteReference"/>
          <w:rFonts w:ascii="Sylfaen" w:hAnsi="Sylfaen"/>
        </w:rPr>
        <w:footnoteReference w:id="10"/>
      </w:r>
      <w:r w:rsidR="00712CA3" w:rsidRPr="00FE223D">
        <w:rPr>
          <w:rFonts w:ascii="Sylfaen" w:hAnsi="Sylfaen"/>
          <w:lang w:val="ka-GE"/>
        </w:rPr>
        <w:t xml:space="preserve"> - შესაბამისად. დამსაქმებლებს შეუძლიათ განაცხადი </w:t>
      </w:r>
      <w:r w:rsidR="00804C6E" w:rsidRPr="00FE223D">
        <w:rPr>
          <w:rFonts w:ascii="Sylfaen" w:hAnsi="Sylfaen"/>
          <w:lang w:val="ka-GE"/>
        </w:rPr>
        <w:t>შეიტანონ</w:t>
      </w:r>
      <w:r w:rsidR="00804C6E" w:rsidRPr="00FE223D">
        <w:rPr>
          <w:rFonts w:ascii="Sylfaen" w:hAnsi="Sylfaen"/>
          <w:lang w:val="ka-GE"/>
        </w:rPr>
        <w:t xml:space="preserve"> </w:t>
      </w:r>
      <w:r w:rsidR="00712CA3" w:rsidRPr="00FE223D">
        <w:rPr>
          <w:rFonts w:ascii="Sylfaen" w:hAnsi="Sylfaen"/>
          <w:lang w:val="ka-GE"/>
        </w:rPr>
        <w:t xml:space="preserve">ასეთი სუბსიდიის მიღებაზე, როდესაც დასაქმებული ჰყავთ შშმ პირი, </w:t>
      </w:r>
      <w:r w:rsidR="00A0140A" w:rsidRPr="00FE223D">
        <w:rPr>
          <w:rFonts w:ascii="Sylfaen" w:hAnsi="Sylfaen"/>
          <w:lang w:val="ka-GE"/>
        </w:rPr>
        <w:t>რომლის შეზღუდული შესაძლებლობის ტიპი  მათ ნაყოფიერ მუშაობაში</w:t>
      </w:r>
      <w:r w:rsidR="00804C6E" w:rsidRPr="00FE223D">
        <w:rPr>
          <w:rFonts w:ascii="Sylfaen" w:hAnsi="Sylfaen"/>
          <w:lang w:val="ka-GE"/>
        </w:rPr>
        <w:t xml:space="preserve"> უშლის ხელს</w:t>
      </w:r>
      <w:r w:rsidR="00A0140A" w:rsidRPr="00FE223D">
        <w:rPr>
          <w:rFonts w:ascii="Sylfaen" w:hAnsi="Sylfaen"/>
          <w:lang w:val="ka-GE"/>
        </w:rPr>
        <w:t xml:space="preserve">. ასეთი პირი დაუსაქმებელი უნდა იყოს და </w:t>
      </w:r>
      <w:r w:rsidR="00804C6E" w:rsidRPr="00FE223D">
        <w:rPr>
          <w:rFonts w:ascii="Sylfaen" w:hAnsi="Sylfaen"/>
          <w:lang w:val="ka-GE"/>
        </w:rPr>
        <w:t>შვედეთის საჯარო დასაქმების სერვისში</w:t>
      </w:r>
      <w:r w:rsidR="00804C6E" w:rsidRPr="00FE223D">
        <w:rPr>
          <w:rFonts w:ascii="Sylfaen" w:hAnsi="Sylfaen"/>
          <w:lang w:val="ka-GE"/>
        </w:rPr>
        <w:t xml:space="preserve"> </w:t>
      </w:r>
      <w:r w:rsidR="00A0140A" w:rsidRPr="00FE223D">
        <w:rPr>
          <w:rFonts w:ascii="Sylfaen" w:hAnsi="Sylfaen"/>
          <w:lang w:val="ka-GE"/>
        </w:rPr>
        <w:t xml:space="preserve">სამუშაოს მაძიებელად </w:t>
      </w:r>
      <w:r w:rsidR="00804C6E" w:rsidRPr="00FE223D">
        <w:rPr>
          <w:rFonts w:ascii="Sylfaen" w:hAnsi="Sylfaen"/>
          <w:lang w:val="ka-GE"/>
        </w:rPr>
        <w:t xml:space="preserve">უნდა </w:t>
      </w:r>
      <w:r w:rsidR="00A0140A" w:rsidRPr="00FE223D">
        <w:rPr>
          <w:rFonts w:ascii="Sylfaen" w:hAnsi="Sylfaen"/>
          <w:lang w:val="ka-GE"/>
        </w:rPr>
        <w:t xml:space="preserve">იყოს დარეგისტრირებული, რომელიც </w:t>
      </w:r>
      <w:r w:rsidR="00804C6E" w:rsidRPr="00FE223D">
        <w:rPr>
          <w:rFonts w:ascii="Sylfaen" w:hAnsi="Sylfaen"/>
          <w:lang w:val="ka-GE"/>
        </w:rPr>
        <w:t xml:space="preserve">დასაქმების პერიოდში </w:t>
      </w:r>
      <w:r w:rsidR="00A0140A" w:rsidRPr="00FE223D">
        <w:rPr>
          <w:rFonts w:ascii="Sylfaen" w:hAnsi="Sylfaen"/>
          <w:lang w:val="ka-GE"/>
        </w:rPr>
        <w:t>მისი ანაზღაურების ნაწილს</w:t>
      </w:r>
      <w:r w:rsidR="00804C6E" w:rsidRPr="00FE223D">
        <w:rPr>
          <w:rFonts w:ascii="Sylfaen" w:hAnsi="Sylfaen"/>
          <w:lang w:val="ka-GE"/>
        </w:rPr>
        <w:t xml:space="preserve"> </w:t>
      </w:r>
      <w:r w:rsidR="00804C6E" w:rsidRPr="00FE223D">
        <w:rPr>
          <w:rFonts w:ascii="Sylfaen" w:hAnsi="Sylfaen"/>
          <w:lang w:val="ka-GE"/>
        </w:rPr>
        <w:t>დაფარავს</w:t>
      </w:r>
      <w:r w:rsidR="00A0140A" w:rsidRPr="00FE223D">
        <w:rPr>
          <w:rFonts w:ascii="Sylfaen" w:hAnsi="Sylfaen"/>
          <w:lang w:val="ka-GE"/>
        </w:rPr>
        <w:t>. ხელფასის სუბსიდირების მიზანი</w:t>
      </w:r>
      <w:r w:rsidR="00702F89" w:rsidRPr="00FE223D">
        <w:rPr>
          <w:rFonts w:ascii="Sylfaen" w:hAnsi="Sylfaen"/>
          <w:lang w:val="ka-GE"/>
        </w:rPr>
        <w:t xml:space="preserve"> სამუშაო ადგილზე საჭირო </w:t>
      </w:r>
      <w:r w:rsidR="00A0140A" w:rsidRPr="00FE223D">
        <w:rPr>
          <w:rFonts w:ascii="Sylfaen" w:hAnsi="Sylfaen"/>
          <w:lang w:val="ka-GE"/>
        </w:rPr>
        <w:t>ადაპტირებების კომპენსირება</w:t>
      </w:r>
      <w:r w:rsidR="00804C6E" w:rsidRPr="00FE223D">
        <w:rPr>
          <w:rFonts w:ascii="Sylfaen" w:hAnsi="Sylfaen"/>
          <w:lang w:val="ka-GE"/>
        </w:rPr>
        <w:t>ა</w:t>
      </w:r>
      <w:r w:rsidR="00702F89" w:rsidRPr="00FE223D">
        <w:rPr>
          <w:rFonts w:ascii="Sylfaen" w:hAnsi="Sylfaen"/>
          <w:lang w:val="ka-GE"/>
        </w:rPr>
        <w:t xml:space="preserve">. შესაბამისად, სუბსიდირების ზომა </w:t>
      </w:r>
      <w:r w:rsidR="00804C6E" w:rsidRPr="00FE223D">
        <w:rPr>
          <w:rFonts w:ascii="Sylfaen" w:hAnsi="Sylfaen"/>
          <w:lang w:val="ka-GE"/>
        </w:rPr>
        <w:t xml:space="preserve">პირისთვის საჭირო </w:t>
      </w:r>
      <w:r w:rsidR="00702F89" w:rsidRPr="00FE223D">
        <w:rPr>
          <w:rFonts w:ascii="Sylfaen" w:hAnsi="Sylfaen"/>
          <w:lang w:val="ka-GE"/>
        </w:rPr>
        <w:t>ადაპტირებისა და მხარდაჭერის ხარისხზე</w:t>
      </w:r>
      <w:r w:rsidR="00804C6E" w:rsidRPr="00FE223D">
        <w:rPr>
          <w:rFonts w:ascii="Sylfaen" w:hAnsi="Sylfaen"/>
          <w:lang w:val="ka-GE"/>
        </w:rPr>
        <w:t xml:space="preserve">ა </w:t>
      </w:r>
      <w:r w:rsidR="00804C6E" w:rsidRPr="00FE223D">
        <w:rPr>
          <w:rFonts w:ascii="Sylfaen" w:hAnsi="Sylfaen"/>
          <w:lang w:val="ka-GE"/>
        </w:rPr>
        <w:t>დამოკიდებული</w:t>
      </w:r>
      <w:r w:rsidR="00702F89" w:rsidRPr="00FE223D">
        <w:rPr>
          <w:rFonts w:ascii="Sylfaen" w:hAnsi="Sylfaen"/>
          <w:lang w:val="ka-GE"/>
        </w:rPr>
        <w:t xml:space="preserve">. დამსაქმებელთან ერთად, შვედეთის საჯარო დასაქმების სერვისი შეიმუშავებს </w:t>
      </w:r>
      <w:r w:rsidR="00804C6E" w:rsidRPr="00FE223D">
        <w:rPr>
          <w:rFonts w:ascii="Sylfaen" w:hAnsi="Sylfaen"/>
          <w:lang w:val="ka-GE"/>
        </w:rPr>
        <w:t>დასაქმებულის მუშაობის ნაყოფიერებ</w:t>
      </w:r>
      <w:r w:rsidR="00804C6E" w:rsidRPr="00FE223D">
        <w:rPr>
          <w:rFonts w:ascii="Sylfaen" w:hAnsi="Sylfaen"/>
          <w:lang w:val="ka-GE"/>
        </w:rPr>
        <w:t xml:space="preserve">ის გაუმჯობესების </w:t>
      </w:r>
      <w:r w:rsidR="00702F89" w:rsidRPr="00FE223D">
        <w:rPr>
          <w:rFonts w:ascii="Sylfaen" w:hAnsi="Sylfaen"/>
          <w:lang w:val="ka-GE"/>
        </w:rPr>
        <w:t>გეგმას</w:t>
      </w:r>
      <w:r w:rsidR="00804C6E" w:rsidRPr="00FE223D">
        <w:rPr>
          <w:rFonts w:ascii="Sylfaen" w:hAnsi="Sylfaen"/>
          <w:lang w:val="ka-GE"/>
        </w:rPr>
        <w:t xml:space="preserve">. </w:t>
      </w:r>
      <w:r w:rsidR="004C7EA7" w:rsidRPr="00FE223D">
        <w:rPr>
          <w:rFonts w:ascii="Sylfaen" w:hAnsi="Sylfaen"/>
          <w:lang w:val="ka-GE"/>
        </w:rPr>
        <w:t xml:space="preserve">დასაქმებულს უნდა ჰქონდეს </w:t>
      </w:r>
      <w:r w:rsidR="00804C6E" w:rsidRPr="00FE223D">
        <w:rPr>
          <w:rFonts w:ascii="Sylfaen" w:hAnsi="Sylfaen"/>
          <w:lang w:val="ka-GE"/>
        </w:rPr>
        <w:t>ანაზღაურება</w:t>
      </w:r>
      <w:r w:rsidR="004C7EA7" w:rsidRPr="00FE223D">
        <w:rPr>
          <w:rFonts w:ascii="Sylfaen" w:hAnsi="Sylfaen"/>
          <w:lang w:val="ka-GE"/>
        </w:rPr>
        <w:t xml:space="preserve"> და სხვა შეღავათები, რომლებიც ინდუსტრიაში არსებული კოლექტიური ხელშეკრულებების შესაბამისი იქნება. ხელფასის სუბსიდირების ზომაზე გავლენას ახდენს იმ ადამიანის სახელფასო ხარჯები და შრომის ნაყოფიერება, რომლის დასაქმებაზეცაა საუბარი. განვითარების შეღავათი </w:t>
      </w:r>
      <w:r w:rsidR="004F5B1A" w:rsidRPr="00FE223D">
        <w:rPr>
          <w:rFonts w:ascii="Sylfaen" w:hAnsi="Sylfaen"/>
          <w:lang w:val="ka-GE"/>
        </w:rPr>
        <w:t xml:space="preserve">ადამიანის შრომის ნაყოფიერების გაზრდის ღონისძიებების დაფინანსების კიდევ ერთი გზაა. 2016 წელს, </w:t>
      </w:r>
      <w:r w:rsidR="00942C71" w:rsidRPr="00FE223D">
        <w:rPr>
          <w:rFonts w:ascii="Sylfaen" w:hAnsi="Sylfaen"/>
          <w:lang w:val="ka-GE"/>
        </w:rPr>
        <w:t xml:space="preserve">საჯარო დასაქმების სერვისის სხვადასხვა ტიპის ფინანსური მხარდაჭრით, </w:t>
      </w:r>
      <w:r w:rsidR="004F5B1A" w:rsidRPr="00FE223D">
        <w:rPr>
          <w:rFonts w:ascii="Sylfaen" w:hAnsi="Sylfaen"/>
          <w:lang w:val="ka-GE"/>
        </w:rPr>
        <w:t>90 000-ზე მეტ</w:t>
      </w:r>
      <w:r w:rsidR="00942C71" w:rsidRPr="00FE223D">
        <w:rPr>
          <w:rFonts w:ascii="Sylfaen" w:hAnsi="Sylfaen"/>
          <w:lang w:val="ka-GE"/>
        </w:rPr>
        <w:t>ი</w:t>
      </w:r>
      <w:r w:rsidR="004F5B1A" w:rsidRPr="00FE223D">
        <w:rPr>
          <w:rFonts w:ascii="Sylfaen" w:hAnsi="Sylfaen"/>
          <w:lang w:val="ka-GE"/>
        </w:rPr>
        <w:t xml:space="preserve"> შეზღუდული შესაძლებლობის მქონე პირ</w:t>
      </w:r>
      <w:r w:rsidR="00942C71" w:rsidRPr="00FE223D">
        <w:rPr>
          <w:rFonts w:ascii="Sylfaen" w:hAnsi="Sylfaen"/>
          <w:lang w:val="ka-GE"/>
        </w:rPr>
        <w:t>ი იყო დასაქმებული; დაახლოებით</w:t>
      </w:r>
      <w:r w:rsidR="00804C6E" w:rsidRPr="00FE223D">
        <w:rPr>
          <w:rFonts w:ascii="Sylfaen" w:hAnsi="Sylfaen"/>
          <w:lang w:val="ka-GE"/>
        </w:rPr>
        <w:t>,</w:t>
      </w:r>
      <w:r w:rsidR="00942C71" w:rsidRPr="00FE223D">
        <w:rPr>
          <w:rFonts w:ascii="Sylfaen" w:hAnsi="Sylfaen"/>
          <w:lang w:val="ka-GE"/>
        </w:rPr>
        <w:t xml:space="preserve"> 29 270 </w:t>
      </w:r>
      <w:r w:rsidR="00804C6E" w:rsidRPr="00FE223D">
        <w:rPr>
          <w:rFonts w:ascii="Sylfaen" w:hAnsi="Sylfaen"/>
          <w:lang w:val="ka-GE"/>
        </w:rPr>
        <w:t>მათგან</w:t>
      </w:r>
      <w:r w:rsidR="00804C6E" w:rsidRPr="00FE223D">
        <w:rPr>
          <w:rFonts w:ascii="Sylfaen" w:hAnsi="Sylfaen"/>
          <w:lang w:val="ka-GE"/>
        </w:rPr>
        <w:t xml:space="preserve">ი </w:t>
      </w:r>
      <w:r w:rsidR="00942C71" w:rsidRPr="00FE223D">
        <w:rPr>
          <w:rFonts w:ascii="Sylfaen" w:hAnsi="Sylfaen"/>
          <w:lang w:val="ka-GE"/>
        </w:rPr>
        <w:t>ხელფასის სუბსიდირებით</w:t>
      </w:r>
      <w:r w:rsidR="00804C6E" w:rsidRPr="00FE223D">
        <w:rPr>
          <w:rFonts w:ascii="Sylfaen" w:hAnsi="Sylfaen"/>
          <w:lang w:val="ka-GE"/>
        </w:rPr>
        <w:t xml:space="preserve"> იყო </w:t>
      </w:r>
      <w:r w:rsidR="00804C6E" w:rsidRPr="00FE223D">
        <w:rPr>
          <w:rFonts w:ascii="Sylfaen" w:hAnsi="Sylfaen"/>
          <w:lang w:val="ka-GE"/>
        </w:rPr>
        <w:t>დასაქმებული</w:t>
      </w:r>
      <w:r w:rsidR="00942C71" w:rsidRPr="00FE223D">
        <w:rPr>
          <w:rFonts w:ascii="Sylfaen" w:hAnsi="Sylfaen"/>
          <w:lang w:val="ka-GE"/>
        </w:rPr>
        <w:t xml:space="preserve">. </w:t>
      </w:r>
    </w:p>
    <w:p w14:paraId="35E65C84" w14:textId="5DBD1E33" w:rsidR="00F0037F" w:rsidRPr="00FE223D" w:rsidRDefault="00F0037F" w:rsidP="00555424">
      <w:pPr>
        <w:pStyle w:val="SingleTxtG"/>
        <w:rPr>
          <w:rFonts w:ascii="Sylfaen" w:hAnsi="Sylfaen"/>
          <w:lang w:val="ka-GE"/>
        </w:rPr>
      </w:pPr>
      <w:r w:rsidRPr="00FE223D">
        <w:rPr>
          <w:rFonts w:ascii="Sylfaen" w:hAnsi="Sylfaen"/>
        </w:rPr>
        <w:t>4.9</w:t>
      </w:r>
      <w:r w:rsidRPr="00FE223D">
        <w:rPr>
          <w:rFonts w:ascii="Sylfaen" w:hAnsi="Sylfaen"/>
        </w:rPr>
        <w:tab/>
      </w:r>
      <w:r w:rsidR="00C1588A" w:rsidRPr="00FE223D">
        <w:rPr>
          <w:rFonts w:ascii="Sylfaen" w:hAnsi="Sylfaen"/>
          <w:lang w:val="ka-GE"/>
        </w:rPr>
        <w:t xml:space="preserve">მეტიც, 2018 წლის ბიუჯეტის კანონპროექტის მიხედვით, სამუშაო სფეროში </w:t>
      </w:r>
      <w:r w:rsidR="00D562C4" w:rsidRPr="00FE223D">
        <w:rPr>
          <w:rFonts w:ascii="Sylfaen" w:hAnsi="Sylfaen"/>
          <w:lang w:val="ka-GE"/>
        </w:rPr>
        <w:t>თითოეული</w:t>
      </w:r>
      <w:r w:rsidR="00C1588A" w:rsidRPr="00FE223D">
        <w:rPr>
          <w:rFonts w:ascii="Sylfaen" w:hAnsi="Sylfaen"/>
          <w:lang w:val="ka-GE"/>
        </w:rPr>
        <w:t xml:space="preserve"> ადამიანის შესაძლებლობების გამოყენება</w:t>
      </w:r>
      <w:r w:rsidR="00D562C4" w:rsidRPr="00FE223D">
        <w:rPr>
          <w:rFonts w:ascii="Sylfaen" w:hAnsi="Sylfaen"/>
          <w:lang w:val="ka-GE"/>
        </w:rPr>
        <w:t>ა</w:t>
      </w:r>
      <w:r w:rsidR="00C1588A" w:rsidRPr="00FE223D">
        <w:rPr>
          <w:rFonts w:ascii="Sylfaen" w:hAnsi="Sylfaen"/>
          <w:lang w:val="ka-GE"/>
        </w:rPr>
        <w:t xml:space="preserve"> მნიშვნელოვანი. ეს კი </w:t>
      </w:r>
      <w:r w:rsidR="00F50255" w:rsidRPr="00FE223D">
        <w:rPr>
          <w:rFonts w:ascii="Sylfaen" w:hAnsi="Sylfaen"/>
          <w:lang w:val="ka-GE"/>
        </w:rPr>
        <w:t>დასაქმებულთა და დამსაქმებელთა შორის ეფექტურ კომუნიკაციას მოითხოვს. ამ კონტექსტში, სახელმწიფო სამუშაო სფეროში თარჯიმნის სერვისებზე მისაწვდომობის გაზრდა</w:t>
      </w:r>
      <w:r w:rsidR="00D562C4" w:rsidRPr="00FE223D">
        <w:rPr>
          <w:rFonts w:ascii="Sylfaen" w:hAnsi="Sylfaen"/>
          <w:lang w:val="ka-GE"/>
        </w:rPr>
        <w:t>ს ისახავს მიზნად</w:t>
      </w:r>
      <w:r w:rsidR="00F50255" w:rsidRPr="00FE223D">
        <w:rPr>
          <w:rFonts w:ascii="Sylfaen" w:hAnsi="Sylfaen"/>
          <w:lang w:val="ka-GE"/>
        </w:rPr>
        <w:t xml:space="preserve">, რათა შრომის ბაზარი </w:t>
      </w:r>
      <w:r w:rsidR="00A7552B" w:rsidRPr="00FE223D">
        <w:rPr>
          <w:rFonts w:ascii="Sylfaen" w:hAnsi="Sylfaen"/>
          <w:lang w:val="ka-GE"/>
        </w:rPr>
        <w:t>უფრო მეტად ღია იყოს სმენის არმქონე</w:t>
      </w:r>
      <w:r w:rsidR="000A2962" w:rsidRPr="00FE223D">
        <w:rPr>
          <w:rFonts w:ascii="Sylfaen" w:hAnsi="Sylfaen"/>
          <w:lang w:val="ka-GE"/>
        </w:rPr>
        <w:t>, სმენადაქვეითებული</w:t>
      </w:r>
      <w:r w:rsidR="00A7552B" w:rsidRPr="00FE223D">
        <w:rPr>
          <w:rFonts w:ascii="Sylfaen" w:hAnsi="Sylfaen"/>
          <w:lang w:val="ka-GE"/>
        </w:rPr>
        <w:t xml:space="preserve"> ან სმენისა და მხედველობის </w:t>
      </w:r>
      <w:r w:rsidR="00A7552B" w:rsidRPr="00FE223D">
        <w:rPr>
          <w:rFonts w:ascii="Sylfaen" w:hAnsi="Sylfaen"/>
          <w:lang w:val="ka-GE"/>
        </w:rPr>
        <w:lastRenderedPageBreak/>
        <w:t>არმქონე ადამიანებისთვის. ამ მიზნით, 2018-2020 წლებში, წელიწადში 15 მილიონი შვედური კრონა (</w:t>
      </w:r>
      <w:r w:rsidR="00A7552B" w:rsidRPr="00FE223D">
        <w:rPr>
          <w:rFonts w:ascii="Sylfaen" w:hAnsi="Sylfaen"/>
          <w:lang w:val="en-US"/>
        </w:rPr>
        <w:t xml:space="preserve">SEK) </w:t>
      </w:r>
      <w:r w:rsidR="00A7552B" w:rsidRPr="00FE223D">
        <w:rPr>
          <w:rFonts w:ascii="Sylfaen" w:hAnsi="Sylfaen"/>
          <w:lang w:val="ka-GE"/>
        </w:rPr>
        <w:t>გამოიყო. ა</w:t>
      </w:r>
      <w:r w:rsidR="00D562C4" w:rsidRPr="00FE223D">
        <w:rPr>
          <w:rFonts w:ascii="Sylfaen" w:hAnsi="Sylfaen"/>
          <w:lang w:val="ka-GE"/>
        </w:rPr>
        <w:t>გრეთვე</w:t>
      </w:r>
      <w:r w:rsidR="00A7552B" w:rsidRPr="00FE223D">
        <w:rPr>
          <w:rFonts w:ascii="Sylfaen" w:hAnsi="Sylfaen"/>
          <w:lang w:val="ka-GE"/>
        </w:rPr>
        <w:t>,</w:t>
      </w:r>
      <w:r w:rsidR="00555424" w:rsidRPr="00FE223D">
        <w:rPr>
          <w:rFonts w:ascii="Sylfaen" w:hAnsi="Sylfaen"/>
          <w:lang w:val="ka-GE"/>
        </w:rPr>
        <w:t xml:space="preserve"> </w:t>
      </w:r>
      <w:r w:rsidR="00A7552B" w:rsidRPr="00FE223D">
        <w:rPr>
          <w:rFonts w:ascii="Sylfaen" w:hAnsi="Sylfaen"/>
          <w:lang w:val="ka-GE"/>
        </w:rPr>
        <w:t xml:space="preserve">წლიურად 75 მილიონი შვედური კრონას </w:t>
      </w:r>
      <w:r w:rsidR="00A7552B" w:rsidRPr="00FE223D">
        <w:rPr>
          <w:rFonts w:ascii="Sylfaen" w:hAnsi="Sylfaen"/>
          <w:lang w:val="en-US"/>
        </w:rPr>
        <w:t>(SEK)</w:t>
      </w:r>
      <w:r w:rsidR="00A7552B" w:rsidRPr="00FE223D">
        <w:rPr>
          <w:rFonts w:ascii="Sylfaen" w:hAnsi="Sylfaen"/>
          <w:lang w:val="ka-GE"/>
        </w:rPr>
        <w:t xml:space="preserve"> </w:t>
      </w:r>
      <w:r w:rsidR="00555424" w:rsidRPr="00FE223D">
        <w:rPr>
          <w:rFonts w:ascii="Sylfaen" w:hAnsi="Sylfaen"/>
          <w:lang w:val="ka-GE"/>
        </w:rPr>
        <w:t>რაოდენობის მიზნობრივი სახელმწიფო გრანტიც</w:t>
      </w:r>
      <w:r w:rsidR="00D562C4" w:rsidRPr="00FE223D">
        <w:rPr>
          <w:rFonts w:ascii="Sylfaen" w:hAnsi="Sylfaen"/>
          <w:lang w:val="ka-GE"/>
        </w:rPr>
        <w:t xml:space="preserve"> </w:t>
      </w:r>
      <w:r w:rsidR="00555424" w:rsidRPr="00FE223D">
        <w:rPr>
          <w:rFonts w:ascii="Sylfaen" w:hAnsi="Sylfaen"/>
          <w:lang w:val="ka-GE"/>
        </w:rPr>
        <w:t>არსებობს</w:t>
      </w:r>
      <w:r w:rsidR="00D562C4" w:rsidRPr="00FE223D">
        <w:rPr>
          <w:rFonts w:ascii="Sylfaen" w:hAnsi="Sylfaen"/>
          <w:lang w:val="ka-GE"/>
        </w:rPr>
        <w:t xml:space="preserve"> </w:t>
      </w:r>
      <w:r w:rsidR="00D562C4" w:rsidRPr="00FE223D">
        <w:rPr>
          <w:rFonts w:ascii="Sylfaen" w:hAnsi="Sylfaen"/>
          <w:lang w:val="ka-GE"/>
        </w:rPr>
        <w:t>თარჯიმნის სერვისებისთვის</w:t>
      </w:r>
      <w:r w:rsidR="00555424" w:rsidRPr="00FE223D">
        <w:rPr>
          <w:rFonts w:ascii="Sylfaen" w:hAnsi="Sylfaen"/>
          <w:lang w:val="ka-GE"/>
        </w:rPr>
        <w:t xml:space="preserve">, რომელსაც ჯანმრთელობისა და კეთილდღეობის ეროვნული საბჭო ადგილობრივ თვითმმართველობებს შორის ანაწილებს. თვითმმართველობები </w:t>
      </w:r>
      <w:r w:rsidR="00D562C4" w:rsidRPr="00FE223D">
        <w:rPr>
          <w:rFonts w:ascii="Sylfaen" w:hAnsi="Sylfaen"/>
          <w:lang w:val="ka-GE"/>
        </w:rPr>
        <w:t>მსგავსი სერვისებისთვის</w:t>
      </w:r>
      <w:r w:rsidR="00D562C4" w:rsidRPr="00FE223D">
        <w:rPr>
          <w:rFonts w:ascii="Sylfaen" w:hAnsi="Sylfaen"/>
          <w:lang w:val="ka-GE"/>
        </w:rPr>
        <w:t xml:space="preserve"> </w:t>
      </w:r>
      <w:r w:rsidR="00555424" w:rsidRPr="00FE223D">
        <w:rPr>
          <w:rFonts w:ascii="Sylfaen" w:hAnsi="Sylfaen"/>
          <w:lang w:val="ka-GE"/>
        </w:rPr>
        <w:t>საკუთარი რესურსებიდანაც გამოყოფენ, დაახლოებით, 156 მილიონ შვედურ კრონას (</w:t>
      </w:r>
      <w:r w:rsidR="00555424" w:rsidRPr="00FE223D">
        <w:rPr>
          <w:rFonts w:ascii="Sylfaen" w:hAnsi="Sylfaen"/>
          <w:lang w:val="en-US"/>
        </w:rPr>
        <w:t>SEK)</w:t>
      </w:r>
      <w:r w:rsidRPr="00FE223D">
        <w:rPr>
          <w:rStyle w:val="FootnoteReference"/>
          <w:rFonts w:ascii="Sylfaen" w:hAnsi="Sylfaen"/>
        </w:rPr>
        <w:footnoteReference w:id="11"/>
      </w:r>
      <w:r w:rsidR="00555424" w:rsidRPr="00FE223D">
        <w:rPr>
          <w:rFonts w:ascii="Sylfaen" w:hAnsi="Sylfaen"/>
          <w:lang w:val="ka-GE"/>
        </w:rPr>
        <w:t>.</w:t>
      </w:r>
      <w:r w:rsidRPr="00FE223D">
        <w:rPr>
          <w:rFonts w:ascii="Sylfaen" w:hAnsi="Sylfaen"/>
        </w:rPr>
        <w:t xml:space="preserve"> </w:t>
      </w:r>
    </w:p>
    <w:p w14:paraId="0FBCF56F" w14:textId="3C2092E1" w:rsidR="00563222" w:rsidRPr="00FE223D" w:rsidRDefault="00F0037F" w:rsidP="00954286">
      <w:pPr>
        <w:pStyle w:val="SingleTxtG"/>
        <w:rPr>
          <w:rFonts w:ascii="Sylfaen" w:hAnsi="Sylfaen"/>
          <w:lang w:val="ka-GE"/>
        </w:rPr>
      </w:pPr>
      <w:r w:rsidRPr="00FE223D">
        <w:rPr>
          <w:rFonts w:ascii="Sylfaen" w:hAnsi="Sylfaen"/>
        </w:rPr>
        <w:t>4.10</w:t>
      </w:r>
      <w:r w:rsidRPr="00FE223D">
        <w:rPr>
          <w:rFonts w:ascii="Sylfaen" w:hAnsi="Sylfaen"/>
        </w:rPr>
        <w:tab/>
      </w:r>
      <w:r w:rsidR="00563222" w:rsidRPr="00FE223D">
        <w:rPr>
          <w:rFonts w:ascii="Sylfaen" w:hAnsi="Sylfaen"/>
          <w:lang w:val="ka-GE"/>
        </w:rPr>
        <w:t xml:space="preserve">სახელმწიფო მხარე აღნიშნავს, რომ 2016 წლის 17 მაისს უნივერსიტეტმა მომჩივანის დასაქმების პროცესის შეწყვეტა გადაწყვიტა, რომელმაც ეს გადაწყვეტილება უმაღლესი განათლების სააპელაციო საბჭოში გაასაჩივრა. ავტორმა მოითხოვა, </w:t>
      </w:r>
      <w:r w:rsidR="00D562C4" w:rsidRPr="00FE223D">
        <w:rPr>
          <w:rFonts w:ascii="Sylfaen" w:hAnsi="Sylfaen"/>
          <w:lang w:val="ka-GE"/>
        </w:rPr>
        <w:t xml:space="preserve">რომ </w:t>
      </w:r>
      <w:r w:rsidR="00563222" w:rsidRPr="00FE223D">
        <w:rPr>
          <w:rFonts w:ascii="Sylfaen" w:hAnsi="Sylfaen"/>
          <w:lang w:val="ka-GE"/>
        </w:rPr>
        <w:t>საბჭოს უნივერსიტეტის გადაწყვეტილება გაეუქმებინა და განაცხადა, რომ უნივერსიტეტმა</w:t>
      </w:r>
      <w:r w:rsidR="00D0488A" w:rsidRPr="00FE223D">
        <w:rPr>
          <w:rFonts w:ascii="Sylfaen" w:hAnsi="Sylfaen"/>
          <w:lang w:val="ka-GE"/>
        </w:rPr>
        <w:t xml:space="preserve">, არასაკმარისი მისაწვდომობის სახით, </w:t>
      </w:r>
      <w:r w:rsidR="00563222" w:rsidRPr="00FE223D">
        <w:rPr>
          <w:rFonts w:ascii="Sylfaen" w:hAnsi="Sylfaen"/>
          <w:lang w:val="ka-GE"/>
        </w:rPr>
        <w:t xml:space="preserve">დისკრიმინაციის </w:t>
      </w:r>
      <w:r w:rsidR="00D562C4" w:rsidRPr="00FE223D">
        <w:rPr>
          <w:rFonts w:ascii="Sylfaen" w:hAnsi="Sylfaen"/>
          <w:lang w:val="ka-GE"/>
        </w:rPr>
        <w:t>დაუშვებლობის პრინციპი</w:t>
      </w:r>
      <w:r w:rsidR="00563222" w:rsidRPr="00FE223D">
        <w:rPr>
          <w:rFonts w:ascii="Sylfaen" w:hAnsi="Sylfaen"/>
          <w:lang w:val="ka-GE"/>
        </w:rPr>
        <w:t xml:space="preserve"> </w:t>
      </w:r>
      <w:r w:rsidR="00D0488A" w:rsidRPr="00FE223D">
        <w:rPr>
          <w:rFonts w:ascii="Sylfaen" w:hAnsi="Sylfaen"/>
          <w:lang w:val="ka-GE"/>
        </w:rPr>
        <w:t>დაარღვია. ასევე, მან განაცხადა, რომ უნივერსიტეტს არ შეუსწავლია</w:t>
      </w:r>
      <w:r w:rsidR="0000649A" w:rsidRPr="00FE223D">
        <w:rPr>
          <w:rFonts w:ascii="Sylfaen" w:hAnsi="Sylfaen"/>
          <w:lang w:val="ka-GE"/>
        </w:rPr>
        <w:t>, თუ რამდენად შეამცირებდა თარჯიმნის საჭიროებას</w:t>
      </w:r>
      <w:r w:rsidR="00D0488A" w:rsidRPr="00FE223D">
        <w:rPr>
          <w:rFonts w:ascii="Sylfaen" w:hAnsi="Sylfaen"/>
          <w:lang w:val="ka-GE"/>
        </w:rPr>
        <w:t xml:space="preserve"> სამუშაო </w:t>
      </w:r>
      <w:r w:rsidR="00440EF1" w:rsidRPr="00FE223D">
        <w:rPr>
          <w:rFonts w:ascii="Sylfaen" w:hAnsi="Sylfaen"/>
          <w:lang w:val="ka-GE"/>
        </w:rPr>
        <w:t>ვალდებულებების</w:t>
      </w:r>
      <w:r w:rsidR="00D0488A" w:rsidRPr="00FE223D">
        <w:rPr>
          <w:rFonts w:ascii="Sylfaen" w:hAnsi="Sylfaen"/>
          <w:lang w:val="ka-GE"/>
        </w:rPr>
        <w:t xml:space="preserve"> გადანაწილებ</w:t>
      </w:r>
      <w:r w:rsidR="0000649A" w:rsidRPr="00FE223D">
        <w:rPr>
          <w:rFonts w:ascii="Sylfaen" w:hAnsi="Sylfaen"/>
          <w:lang w:val="ka-GE"/>
        </w:rPr>
        <w:t>ა</w:t>
      </w:r>
      <w:r w:rsidR="00D0488A" w:rsidRPr="00FE223D">
        <w:rPr>
          <w:rFonts w:ascii="Sylfaen" w:hAnsi="Sylfaen"/>
          <w:lang w:val="ka-GE"/>
        </w:rPr>
        <w:t xml:space="preserve"> </w:t>
      </w:r>
      <w:r w:rsidR="00D562C4" w:rsidRPr="00FE223D">
        <w:rPr>
          <w:rFonts w:ascii="Sylfaen" w:hAnsi="Sylfaen"/>
          <w:lang w:val="ka-GE"/>
        </w:rPr>
        <w:t xml:space="preserve">(რედისტრიბუცია) </w:t>
      </w:r>
      <w:r w:rsidR="00D0488A" w:rsidRPr="00FE223D">
        <w:rPr>
          <w:rFonts w:ascii="Sylfaen" w:hAnsi="Sylfaen"/>
          <w:lang w:val="ka-GE"/>
        </w:rPr>
        <w:t>ან ტექნოლოგიური გადაჭრის გზების ძიება</w:t>
      </w:r>
      <w:r w:rsidR="0000649A" w:rsidRPr="00FE223D">
        <w:rPr>
          <w:rFonts w:ascii="Sylfaen" w:hAnsi="Sylfaen"/>
          <w:lang w:val="ka-GE"/>
        </w:rPr>
        <w:t>. მან დაამატა ისიც, რომ დისკრიმინაციის</w:t>
      </w:r>
      <w:r w:rsidR="00D9638F" w:rsidRPr="00FE223D">
        <w:rPr>
          <w:rFonts w:ascii="Sylfaen" w:hAnsi="Sylfaen"/>
          <w:lang w:val="ka-GE"/>
        </w:rPr>
        <w:t xml:space="preserve"> შესახებ</w:t>
      </w:r>
      <w:r w:rsidR="0000649A" w:rsidRPr="00FE223D">
        <w:rPr>
          <w:rFonts w:ascii="Sylfaen" w:hAnsi="Sylfaen"/>
          <w:lang w:val="ka-GE"/>
        </w:rPr>
        <w:t xml:space="preserve"> კანონის </w:t>
      </w:r>
      <w:r w:rsidR="0000649A" w:rsidRPr="00FE223D">
        <w:rPr>
          <w:rFonts w:ascii="Sylfaen" w:hAnsi="Sylfaen"/>
          <w:i/>
          <w:iCs/>
        </w:rPr>
        <w:t>travaux préparatoires</w:t>
      </w:r>
      <w:r w:rsidR="0000649A" w:rsidRPr="00FE223D">
        <w:rPr>
          <w:rFonts w:ascii="Sylfaen" w:hAnsi="Sylfaen"/>
          <w:lang w:val="ka-GE"/>
        </w:rPr>
        <w:t xml:space="preserve">-ის მიხედვით, უნივერსიტეტი </w:t>
      </w:r>
      <w:r w:rsidR="00140061" w:rsidRPr="00FE223D">
        <w:rPr>
          <w:rFonts w:ascii="Sylfaen" w:hAnsi="Sylfaen"/>
          <w:lang w:val="ka-GE"/>
        </w:rPr>
        <w:t xml:space="preserve">ვალდებული იყო, თანაწორი მოპყრობის მის ლეგიტიმურ მოთხოვნასა და უნივერსიტეტის ფინანსურ მდგომარეობას შორის ფრთხილი ბალანსი დაეცვა. ავტორმა მოითხოვა, რომ იმ შემთხვევაში, თუ საბჭო დაადგენდა, რომ მისი კომპეტენცია არ იყო ამ საჩივრის განხილვა, საჩივარი ადმინისტრაციული სასამართლოსთვის </w:t>
      </w:r>
      <w:r w:rsidR="00D562C4" w:rsidRPr="00FE223D">
        <w:rPr>
          <w:rFonts w:ascii="Sylfaen" w:hAnsi="Sylfaen"/>
          <w:lang w:val="ka-GE"/>
        </w:rPr>
        <w:t>გადაეცათ</w:t>
      </w:r>
      <w:r w:rsidR="00140061" w:rsidRPr="00FE223D">
        <w:rPr>
          <w:rFonts w:ascii="Sylfaen" w:hAnsi="Sylfaen"/>
          <w:lang w:val="ka-GE"/>
        </w:rPr>
        <w:t xml:space="preserve">. ამასთან დაკავშირებით, სახელმწიფო მხარე </w:t>
      </w:r>
      <w:r w:rsidR="00EC1009" w:rsidRPr="00FE223D">
        <w:rPr>
          <w:rFonts w:ascii="Sylfaen" w:hAnsi="Sylfaen"/>
          <w:lang w:val="ka-GE"/>
        </w:rPr>
        <w:t>მომჩივნის არგუმენტ</w:t>
      </w:r>
      <w:r w:rsidR="0003239D" w:rsidRPr="00FE223D">
        <w:rPr>
          <w:rFonts w:ascii="Sylfaen" w:hAnsi="Sylfaen"/>
          <w:lang w:val="ka-GE"/>
        </w:rPr>
        <w:t>ს იმეორებს</w:t>
      </w:r>
      <w:r w:rsidR="00EC1009" w:rsidRPr="00FE223D">
        <w:rPr>
          <w:rFonts w:ascii="Sylfaen" w:hAnsi="Sylfaen"/>
          <w:lang w:val="ka-GE"/>
        </w:rPr>
        <w:t>, რომ</w:t>
      </w:r>
      <w:r w:rsidR="0003239D" w:rsidRPr="00FE223D">
        <w:rPr>
          <w:rFonts w:ascii="Sylfaen" w:hAnsi="Sylfaen"/>
          <w:lang w:val="ka-GE"/>
        </w:rPr>
        <w:t>,</w:t>
      </w:r>
      <w:r w:rsidR="00EC1009" w:rsidRPr="00FE223D">
        <w:rPr>
          <w:rFonts w:ascii="Sylfaen" w:hAnsi="Sylfaen"/>
          <w:lang w:val="ka-GE"/>
        </w:rPr>
        <w:t xml:space="preserve"> </w:t>
      </w:r>
      <w:r w:rsidR="0003239D" w:rsidRPr="00FE223D">
        <w:rPr>
          <w:rFonts w:ascii="Sylfaen" w:hAnsi="Sylfaen"/>
          <w:lang w:val="ka-GE"/>
        </w:rPr>
        <w:t xml:space="preserve">ადამიანის უფლებათა ევროპული სასამართლოს პრეცედენტული სამართლის მიხედვით, </w:t>
      </w:r>
      <w:r w:rsidR="00EC1009" w:rsidRPr="00FE223D">
        <w:rPr>
          <w:rFonts w:ascii="Sylfaen" w:hAnsi="Sylfaen"/>
          <w:lang w:val="ka-GE"/>
        </w:rPr>
        <w:t xml:space="preserve">საჯარო დასაქმების საკითხები სამოქალაქო უფლებებს </w:t>
      </w:r>
      <w:r w:rsidR="0003239D" w:rsidRPr="00FE223D">
        <w:rPr>
          <w:rFonts w:ascii="Sylfaen" w:hAnsi="Sylfaen"/>
          <w:lang w:val="ka-GE"/>
        </w:rPr>
        <w:t>ეხება და ეს საკითხები ადამიანის უფლებათა ევროპული კონვენციის მეთოთხმეტე მუხლის მიხედვით</w:t>
      </w:r>
      <w:r w:rsidR="00A2563F" w:rsidRPr="00FE223D">
        <w:rPr>
          <w:rFonts w:ascii="Sylfaen" w:hAnsi="Sylfaen"/>
          <w:lang w:val="ka-GE"/>
        </w:rPr>
        <w:t xml:space="preserve"> </w:t>
      </w:r>
      <w:r w:rsidR="00A2563F" w:rsidRPr="00FE223D">
        <w:rPr>
          <w:rFonts w:ascii="Sylfaen" w:hAnsi="Sylfaen"/>
          <w:lang w:val="ka-GE"/>
        </w:rPr>
        <w:t>უნდა განიხილებოდას</w:t>
      </w:r>
      <w:r w:rsidR="0003239D" w:rsidRPr="00FE223D">
        <w:rPr>
          <w:rFonts w:ascii="Sylfaen" w:hAnsi="Sylfaen"/>
          <w:lang w:val="ka-GE"/>
        </w:rPr>
        <w:t xml:space="preserve">, რომელიც დისკრიმინაციას კრძალავს.  </w:t>
      </w:r>
    </w:p>
    <w:p w14:paraId="609EAA86" w14:textId="3AC7F533" w:rsidR="00C939F6" w:rsidRPr="00FE223D" w:rsidRDefault="00FB7174" w:rsidP="00C939F6">
      <w:pPr>
        <w:pStyle w:val="SingleTxtG"/>
        <w:rPr>
          <w:rFonts w:ascii="Sylfaen" w:hAnsi="Sylfaen"/>
          <w:lang w:val="ka-GE"/>
        </w:rPr>
      </w:pPr>
      <w:r w:rsidRPr="00FE223D">
        <w:rPr>
          <w:rFonts w:ascii="Sylfaen" w:hAnsi="Sylfaen"/>
        </w:rPr>
        <w:t>4.11</w:t>
      </w:r>
      <w:r w:rsidRPr="00FE223D">
        <w:rPr>
          <w:rFonts w:ascii="Sylfaen" w:hAnsi="Sylfaen"/>
        </w:rPr>
        <w:tab/>
      </w:r>
      <w:r w:rsidRPr="00FE223D">
        <w:rPr>
          <w:rFonts w:ascii="Sylfaen" w:hAnsi="Sylfaen"/>
          <w:lang w:val="ka-GE"/>
        </w:rPr>
        <w:t>2016 წლის 1 ივლისს საბჭომ საჩივარი არ დააკმაყოფილა და  სტოკჰოლმის ადმინისტრაციულ სასამართლოს</w:t>
      </w:r>
      <w:r w:rsidR="00A2563F" w:rsidRPr="00FE223D">
        <w:rPr>
          <w:rFonts w:ascii="Sylfaen" w:hAnsi="Sylfaen"/>
          <w:lang w:val="ka-GE"/>
        </w:rPr>
        <w:t xml:space="preserve"> </w:t>
      </w:r>
      <w:r w:rsidR="00A2563F" w:rsidRPr="00FE223D">
        <w:rPr>
          <w:rFonts w:ascii="Sylfaen" w:hAnsi="Sylfaen"/>
          <w:lang w:val="ka-GE"/>
        </w:rPr>
        <w:t>წარუდგინა</w:t>
      </w:r>
      <w:r w:rsidRPr="00FE223D">
        <w:rPr>
          <w:rFonts w:ascii="Sylfaen" w:hAnsi="Sylfaen"/>
          <w:lang w:val="ka-GE"/>
        </w:rPr>
        <w:t xml:space="preserve">. 2017 წლის 26 იანვარს კი ადმინისტრაციულმა სასამართლომაც არ დააკმაყოფილა საჩივარი და აღნიშნა, რომ პირს, რომელსაც გადაწყვეტილება შეეხება, ადმინისტრაციული საპროცესო კანონის 22-ე მუხლის </w:t>
      </w:r>
      <w:r w:rsidR="001B6EC2" w:rsidRPr="00FE223D">
        <w:rPr>
          <w:rFonts w:ascii="Sylfaen" w:hAnsi="Sylfaen"/>
          <w:lang w:val="ka-GE"/>
        </w:rPr>
        <w:t xml:space="preserve">შესაბამისად, გადაწყვეტილების გასაჩივრება შეუძლია იმ პირობით, </w:t>
      </w:r>
      <w:r w:rsidR="00A2563F" w:rsidRPr="00FE223D">
        <w:rPr>
          <w:rFonts w:ascii="Sylfaen" w:hAnsi="Sylfaen"/>
          <w:lang w:val="ka-GE"/>
        </w:rPr>
        <w:t xml:space="preserve">თუ გადაწყვეტილება მასზე </w:t>
      </w:r>
      <w:r w:rsidR="001B6EC2" w:rsidRPr="00FE223D">
        <w:rPr>
          <w:rFonts w:ascii="Sylfaen" w:hAnsi="Sylfaen"/>
          <w:lang w:val="ka-GE"/>
        </w:rPr>
        <w:t>უარყოფითად მოქმედებს და შესაბამისად, გასაჩივრებას ექვემდებარება. საჩივრის შეტანა შესაძლებელია საერთო ადმინისტრაციულ სასამართლოში, მაგრამ ეს არ ეხება დასაქმების საკითხებზე მიღებულ გადაწყვეტილებებს. ს</w:t>
      </w:r>
      <w:r w:rsidR="001152CA" w:rsidRPr="00FE223D">
        <w:rPr>
          <w:rFonts w:ascii="Sylfaen" w:hAnsi="Sylfaen"/>
          <w:lang w:val="ka-GE"/>
        </w:rPr>
        <w:t>ო</w:t>
      </w:r>
      <w:r w:rsidR="001B6EC2" w:rsidRPr="00FE223D">
        <w:rPr>
          <w:rFonts w:ascii="Sylfaen" w:hAnsi="Sylfaen"/>
          <w:lang w:val="ka-GE"/>
        </w:rPr>
        <w:t>დერტ</w:t>
      </w:r>
      <w:r w:rsidR="001152CA" w:rsidRPr="00FE223D">
        <w:rPr>
          <w:rFonts w:ascii="Sylfaen" w:hAnsi="Sylfaen"/>
          <w:lang w:val="ka-GE"/>
        </w:rPr>
        <w:t>ო</w:t>
      </w:r>
      <w:r w:rsidR="001B6EC2" w:rsidRPr="00FE223D">
        <w:rPr>
          <w:rFonts w:ascii="Sylfaen" w:hAnsi="Sylfaen"/>
          <w:lang w:val="ka-GE"/>
        </w:rPr>
        <w:t>რნის უნივერსიტეტის გადაწყვეტილება</w:t>
      </w:r>
      <w:r w:rsidR="00FA09FE" w:rsidRPr="00FE223D">
        <w:rPr>
          <w:rFonts w:ascii="Sylfaen" w:hAnsi="Sylfaen"/>
          <w:lang w:val="ka-GE"/>
        </w:rPr>
        <w:t xml:space="preserve"> დასაქმების საკითხებს შეეხებოდა და შესაბამისად, ადმინისტრაციული სასამართლოს მიერ ამ დებულებების განხილვას ვერ დაექვემდებარებოდა. თუმცა, ადმინისტრაციული საპროცესო კანონის მე-3 ნაწილის თანახმად, კანონის გასაჩივრების შესახებ დებულებები ყოველთვის იმ შემთხვევაში</w:t>
      </w:r>
      <w:r w:rsidR="00A2563F" w:rsidRPr="00FE223D">
        <w:rPr>
          <w:rFonts w:ascii="Sylfaen" w:hAnsi="Sylfaen"/>
          <w:lang w:val="ka-GE"/>
        </w:rPr>
        <w:t xml:space="preserve"> გამოიყენება</w:t>
      </w:r>
      <w:r w:rsidR="00FA09FE" w:rsidRPr="00FE223D">
        <w:rPr>
          <w:rFonts w:ascii="Sylfaen" w:hAnsi="Sylfaen"/>
          <w:lang w:val="ka-GE"/>
        </w:rPr>
        <w:t>, თუ ყველა ადამიანის სამართლიანი სასამართლოს უფლების უზრუნველყოფა</w:t>
      </w:r>
      <w:r w:rsidR="00A2563F" w:rsidRPr="00FE223D">
        <w:rPr>
          <w:rFonts w:ascii="Sylfaen" w:hAnsi="Sylfaen"/>
          <w:lang w:val="ka-GE"/>
        </w:rPr>
        <w:t>ა</w:t>
      </w:r>
      <w:r w:rsidR="00FA09FE" w:rsidRPr="00FE223D">
        <w:rPr>
          <w:rFonts w:ascii="Sylfaen" w:hAnsi="Sylfaen"/>
          <w:lang w:val="ka-GE"/>
        </w:rPr>
        <w:t xml:space="preserve"> </w:t>
      </w:r>
      <w:r w:rsidR="00A2563F" w:rsidRPr="00FE223D">
        <w:rPr>
          <w:rFonts w:ascii="Sylfaen" w:hAnsi="Sylfaen"/>
          <w:lang w:val="ka-GE"/>
        </w:rPr>
        <w:t xml:space="preserve">აუცილებელი </w:t>
      </w:r>
      <w:r w:rsidR="00FA09FE" w:rsidRPr="00FE223D">
        <w:rPr>
          <w:rFonts w:ascii="Sylfaen" w:hAnsi="Sylfaen"/>
          <w:lang w:val="ka-GE"/>
        </w:rPr>
        <w:t xml:space="preserve">მათი სამოქალაქო უფლებებისა თუ მოვალეობების განსაზღვრისას, როგორც </w:t>
      </w:r>
      <w:r w:rsidR="00F15A5F" w:rsidRPr="00FE223D">
        <w:rPr>
          <w:rFonts w:ascii="Sylfaen" w:hAnsi="Sylfaen"/>
          <w:lang w:val="ka-GE"/>
        </w:rPr>
        <w:t xml:space="preserve">ადამიანის უფლებათა ევროპული კონვენციის მუხლით 6.1. </w:t>
      </w:r>
      <w:r w:rsidR="00FA09FE" w:rsidRPr="00FE223D">
        <w:rPr>
          <w:rFonts w:ascii="Sylfaen" w:hAnsi="Sylfaen"/>
          <w:lang w:val="ka-GE"/>
        </w:rPr>
        <w:t>არის გათვალისწინებული</w:t>
      </w:r>
      <w:r w:rsidR="00F15A5F" w:rsidRPr="00FE223D">
        <w:rPr>
          <w:rFonts w:ascii="Sylfaen" w:hAnsi="Sylfaen"/>
          <w:lang w:val="ka-GE"/>
        </w:rPr>
        <w:t>. სასამართლოს თანახმად, უნივერსიტეტის გადაწყვეტილება სამოქალაქო უფლებებს</w:t>
      </w:r>
      <w:r w:rsidR="00136AEA" w:rsidRPr="00FE223D">
        <w:rPr>
          <w:rFonts w:ascii="Sylfaen" w:hAnsi="Sylfaen"/>
          <w:lang w:val="ka-GE"/>
        </w:rPr>
        <w:t xml:space="preserve">, </w:t>
      </w:r>
      <w:r w:rsidR="00136AEA" w:rsidRPr="00FE223D">
        <w:rPr>
          <w:rFonts w:ascii="Sylfaen" w:hAnsi="Sylfaen"/>
          <w:lang w:val="ka-GE"/>
        </w:rPr>
        <w:t>ადამიანის უფლებათა ევროპული კონვენციის მნიშვნელობით</w:t>
      </w:r>
      <w:r w:rsidR="00136AEA" w:rsidRPr="00FE223D">
        <w:rPr>
          <w:rFonts w:ascii="Sylfaen" w:hAnsi="Sylfaen"/>
          <w:lang w:val="ka-GE"/>
        </w:rPr>
        <w:t>,</w:t>
      </w:r>
      <w:r w:rsidR="00A2563F" w:rsidRPr="00FE223D">
        <w:rPr>
          <w:rFonts w:ascii="Sylfaen" w:hAnsi="Sylfaen"/>
          <w:lang w:val="ka-GE"/>
        </w:rPr>
        <w:t xml:space="preserve"> </w:t>
      </w:r>
      <w:r w:rsidR="00A2563F" w:rsidRPr="00FE223D">
        <w:rPr>
          <w:rFonts w:ascii="Sylfaen" w:hAnsi="Sylfaen"/>
          <w:lang w:val="ka-GE"/>
        </w:rPr>
        <w:t>არ ეხება</w:t>
      </w:r>
      <w:r w:rsidR="00DE430B" w:rsidRPr="00FE223D">
        <w:rPr>
          <w:rFonts w:ascii="Sylfaen" w:hAnsi="Sylfaen"/>
          <w:lang w:val="ka-GE"/>
        </w:rPr>
        <w:t xml:space="preserve">. შესაბამისად, ავტორის საჩივარი უარყოფილ იქნა. </w:t>
      </w:r>
    </w:p>
    <w:p w14:paraId="6145D6AA" w14:textId="172F8417" w:rsidR="00DE430B" w:rsidRPr="00FE223D" w:rsidRDefault="00F0037F" w:rsidP="00C939F6">
      <w:pPr>
        <w:pStyle w:val="SingleTxtG"/>
        <w:rPr>
          <w:rFonts w:ascii="Sylfaen" w:hAnsi="Sylfaen"/>
          <w:lang w:val="ka-GE"/>
        </w:rPr>
      </w:pPr>
      <w:r w:rsidRPr="00FE223D">
        <w:rPr>
          <w:rFonts w:ascii="Sylfaen" w:hAnsi="Sylfaen"/>
        </w:rPr>
        <w:t>4.12</w:t>
      </w:r>
      <w:r w:rsidRPr="00FE223D">
        <w:rPr>
          <w:rFonts w:ascii="Sylfaen" w:hAnsi="Sylfaen"/>
        </w:rPr>
        <w:tab/>
      </w:r>
      <w:r w:rsidR="00DE430B" w:rsidRPr="00FE223D">
        <w:rPr>
          <w:rFonts w:ascii="Sylfaen" w:hAnsi="Sylfaen"/>
          <w:lang w:val="ka-GE"/>
        </w:rPr>
        <w:t>დასაქმების პროცესის შეწყვეტის შემდეგ, ავტორმა უნივერსიტეტის გადაწყვეტილება, დისკრიმინაციის მიზეზით, თანასწორობის ომ</w:t>
      </w:r>
      <w:r w:rsidR="00136AEA" w:rsidRPr="00FE223D">
        <w:rPr>
          <w:rFonts w:ascii="Sylfaen" w:hAnsi="Sylfaen"/>
          <w:lang w:val="ka-GE"/>
        </w:rPr>
        <w:t>ბ</w:t>
      </w:r>
      <w:r w:rsidR="00DE430B" w:rsidRPr="00FE223D">
        <w:rPr>
          <w:rFonts w:ascii="Sylfaen" w:hAnsi="Sylfaen"/>
          <w:lang w:val="ka-GE"/>
        </w:rPr>
        <w:t>უ</w:t>
      </w:r>
      <w:r w:rsidR="00136AEA" w:rsidRPr="00FE223D">
        <w:rPr>
          <w:rFonts w:ascii="Sylfaen" w:hAnsi="Sylfaen"/>
          <w:lang w:val="ka-GE"/>
        </w:rPr>
        <w:t>დს</w:t>
      </w:r>
      <w:r w:rsidR="00DE430B" w:rsidRPr="00FE223D">
        <w:rPr>
          <w:rFonts w:ascii="Sylfaen" w:hAnsi="Sylfaen"/>
          <w:lang w:val="ka-GE"/>
        </w:rPr>
        <w:t xml:space="preserve">მენს შეატყობინა. </w:t>
      </w:r>
      <w:r w:rsidR="00440EF1" w:rsidRPr="00FE223D">
        <w:rPr>
          <w:rFonts w:ascii="Sylfaen" w:hAnsi="Sylfaen"/>
          <w:lang w:val="ka-GE"/>
        </w:rPr>
        <w:t>ომბუდსმე</w:t>
      </w:r>
      <w:r w:rsidR="00DE430B" w:rsidRPr="00FE223D">
        <w:rPr>
          <w:rFonts w:ascii="Sylfaen" w:hAnsi="Sylfaen"/>
          <w:lang w:val="ka-GE"/>
        </w:rPr>
        <w:t xml:space="preserve">ნმა ზედამხედველობის დაწყება გადაწყვიტა. ამ </w:t>
      </w:r>
      <w:r w:rsidR="00DE430B" w:rsidRPr="00FE223D">
        <w:rPr>
          <w:rFonts w:ascii="Sylfaen" w:hAnsi="Sylfaen"/>
          <w:lang w:val="ka-GE"/>
        </w:rPr>
        <w:lastRenderedPageBreak/>
        <w:t xml:space="preserve">კონტექსტში, </w:t>
      </w:r>
      <w:r w:rsidR="00103E51" w:rsidRPr="00FE223D">
        <w:rPr>
          <w:rFonts w:ascii="Sylfaen" w:hAnsi="Sylfaen"/>
          <w:lang w:val="ka-GE"/>
        </w:rPr>
        <w:t>მან 2016 წლის 16 ივნისს უნივერსიტეტს წერილობით მიმართა და რამდენიმე კითხვა დაუსვა, მათ შორის, უნივერსიტეტის პოზიციის შესახებ იმასთან დაკავშირებით, რომ მომჩივანმა ომ</w:t>
      </w:r>
      <w:r w:rsidR="00136AEA" w:rsidRPr="00FE223D">
        <w:rPr>
          <w:rFonts w:ascii="Sylfaen" w:hAnsi="Sylfaen"/>
          <w:lang w:val="ka-GE"/>
        </w:rPr>
        <w:t>ბ</w:t>
      </w:r>
      <w:r w:rsidR="00103E51" w:rsidRPr="00FE223D">
        <w:rPr>
          <w:rFonts w:ascii="Sylfaen" w:hAnsi="Sylfaen"/>
          <w:lang w:val="ka-GE"/>
        </w:rPr>
        <w:t>უ</w:t>
      </w:r>
      <w:r w:rsidR="00136AEA" w:rsidRPr="00FE223D">
        <w:rPr>
          <w:rFonts w:ascii="Sylfaen" w:hAnsi="Sylfaen"/>
          <w:lang w:val="ka-GE"/>
        </w:rPr>
        <w:t>დს</w:t>
      </w:r>
      <w:r w:rsidR="00103E51" w:rsidRPr="00FE223D">
        <w:rPr>
          <w:rFonts w:ascii="Sylfaen" w:hAnsi="Sylfaen"/>
          <w:lang w:val="ka-GE"/>
        </w:rPr>
        <w:t xml:space="preserve">მენს მიმართა. ერთ-ერთი კითხვა ეხებოდა </w:t>
      </w:r>
      <w:r w:rsidR="00356B25" w:rsidRPr="00FE223D">
        <w:rPr>
          <w:rFonts w:ascii="Sylfaen" w:hAnsi="Sylfaen"/>
          <w:lang w:val="ka-GE"/>
        </w:rPr>
        <w:t xml:space="preserve">იმას, თუ რამდენად შეეძლო უნივერსიტეტს მომჩივანისთვის ისეთი ალტერნატიული სამუშაო </w:t>
      </w:r>
      <w:r w:rsidR="00440EF1" w:rsidRPr="00FE223D">
        <w:rPr>
          <w:rFonts w:ascii="Sylfaen" w:hAnsi="Sylfaen"/>
          <w:lang w:val="ka-GE"/>
        </w:rPr>
        <w:t>მოვალეობების</w:t>
      </w:r>
      <w:r w:rsidR="00356B25" w:rsidRPr="00FE223D">
        <w:rPr>
          <w:rFonts w:ascii="Sylfaen" w:hAnsi="Sylfaen"/>
          <w:lang w:val="ka-GE"/>
        </w:rPr>
        <w:t xml:space="preserve"> შეთავაზება, რომლებიც თარჯიმნის ხარჯებს შეამცირებდა. </w:t>
      </w:r>
      <w:r w:rsidR="00CC1A54" w:rsidRPr="00FE223D">
        <w:rPr>
          <w:rFonts w:ascii="Sylfaen" w:hAnsi="Sylfaen"/>
          <w:lang w:val="ka-GE"/>
        </w:rPr>
        <w:t xml:space="preserve">ასევე, </w:t>
      </w:r>
      <w:r w:rsidR="00440EF1" w:rsidRPr="00FE223D">
        <w:rPr>
          <w:rFonts w:ascii="Sylfaen" w:hAnsi="Sylfaen"/>
          <w:lang w:val="ka-GE"/>
        </w:rPr>
        <w:t>ომბუდსმე</w:t>
      </w:r>
      <w:r w:rsidR="00CC1A54" w:rsidRPr="00FE223D">
        <w:rPr>
          <w:rFonts w:ascii="Sylfaen" w:hAnsi="Sylfaen"/>
          <w:lang w:val="ka-GE"/>
        </w:rPr>
        <w:t>ნმა წამოწია საკითხი, რომ ავტორი</w:t>
      </w:r>
      <w:r w:rsidR="00685507" w:rsidRPr="00FE223D">
        <w:rPr>
          <w:rFonts w:ascii="Sylfaen" w:hAnsi="Sylfaen"/>
          <w:lang w:val="ka-GE"/>
        </w:rPr>
        <w:t>ს თანახმად, მას შეეძლო</w:t>
      </w:r>
      <w:r w:rsidR="00CC1A54" w:rsidRPr="00FE223D">
        <w:rPr>
          <w:rFonts w:ascii="Sylfaen" w:hAnsi="Sylfaen"/>
          <w:lang w:val="ka-GE"/>
        </w:rPr>
        <w:t xml:space="preserve"> </w:t>
      </w:r>
      <w:r w:rsidR="00685507" w:rsidRPr="00FE223D">
        <w:rPr>
          <w:rFonts w:ascii="Sylfaen" w:hAnsi="Sylfaen"/>
          <w:lang w:val="ka-GE"/>
        </w:rPr>
        <w:t xml:space="preserve">საკლასო ინსტრუქციების ალტერნატიული </w:t>
      </w:r>
      <w:r w:rsidR="00CC1A54" w:rsidRPr="00FE223D">
        <w:rPr>
          <w:rFonts w:ascii="Sylfaen" w:hAnsi="Sylfaen"/>
          <w:lang w:val="ka-GE"/>
        </w:rPr>
        <w:t xml:space="preserve"> გზებით</w:t>
      </w:r>
      <w:r w:rsidR="00685507" w:rsidRPr="00FE223D">
        <w:rPr>
          <w:rFonts w:ascii="Sylfaen" w:hAnsi="Sylfaen"/>
          <w:lang w:val="ka-GE"/>
        </w:rPr>
        <w:t xml:space="preserve"> ესწავლებინა</w:t>
      </w:r>
      <w:r w:rsidR="00CC1A54" w:rsidRPr="00FE223D">
        <w:rPr>
          <w:rFonts w:ascii="Sylfaen" w:hAnsi="Sylfaen"/>
          <w:lang w:val="ka-GE"/>
        </w:rPr>
        <w:t>, მაგალითად, ელექტრონული ფოსტის მეშვეობით, სტუდენტების სუპერვიზირებისა და ტუტორობის გზ</w:t>
      </w:r>
      <w:r w:rsidR="00136AEA" w:rsidRPr="00FE223D">
        <w:rPr>
          <w:rFonts w:ascii="Sylfaen" w:hAnsi="Sylfaen"/>
          <w:lang w:val="ka-GE"/>
        </w:rPr>
        <w:t>ებ</w:t>
      </w:r>
      <w:r w:rsidR="00CC1A54" w:rsidRPr="00FE223D">
        <w:rPr>
          <w:rFonts w:ascii="Sylfaen" w:hAnsi="Sylfaen"/>
          <w:lang w:val="ka-GE"/>
        </w:rPr>
        <w:t xml:space="preserve">ით; ონლაინ ჩატის </w:t>
      </w:r>
      <w:r w:rsidR="00685507" w:rsidRPr="00FE223D">
        <w:rPr>
          <w:rFonts w:ascii="Sylfaen" w:hAnsi="Sylfaen"/>
          <w:lang w:val="ka-GE"/>
        </w:rPr>
        <w:t>საშუალებით</w:t>
      </w:r>
      <w:r w:rsidR="00CC1A54" w:rsidRPr="00FE223D">
        <w:rPr>
          <w:rFonts w:ascii="Sylfaen" w:hAnsi="Sylfaen"/>
          <w:lang w:val="ka-GE"/>
        </w:rPr>
        <w:t xml:space="preserve">, გამოცდების ჩატარებისა და </w:t>
      </w:r>
      <w:r w:rsidR="00685507" w:rsidRPr="00FE223D">
        <w:rPr>
          <w:rFonts w:ascii="Sylfaen" w:hAnsi="Sylfaen"/>
          <w:lang w:val="ka-GE"/>
        </w:rPr>
        <w:t>სასწავლო ჯგუფების გზ</w:t>
      </w:r>
      <w:r w:rsidR="00136AEA" w:rsidRPr="00FE223D">
        <w:rPr>
          <w:rFonts w:ascii="Sylfaen" w:hAnsi="Sylfaen"/>
          <w:lang w:val="ka-GE"/>
        </w:rPr>
        <w:t>ებ</w:t>
      </w:r>
      <w:r w:rsidR="00685507" w:rsidRPr="00FE223D">
        <w:rPr>
          <w:rFonts w:ascii="Sylfaen" w:hAnsi="Sylfaen"/>
          <w:lang w:val="ka-GE"/>
        </w:rPr>
        <w:t xml:space="preserve">ით; მისი ლექციების აუდიო/ვიდეო ჩაწერის გზით. </w:t>
      </w:r>
      <w:r w:rsidR="00440EF1" w:rsidRPr="00FE223D">
        <w:rPr>
          <w:rFonts w:ascii="Sylfaen" w:hAnsi="Sylfaen"/>
          <w:lang w:val="ka-GE"/>
        </w:rPr>
        <w:t>ომბუდსმე</w:t>
      </w:r>
      <w:r w:rsidR="00685507" w:rsidRPr="00FE223D">
        <w:rPr>
          <w:rFonts w:ascii="Sylfaen" w:hAnsi="Sylfaen"/>
          <w:lang w:val="ka-GE"/>
        </w:rPr>
        <w:t>ნმა დააფიქსირა ავტორის კიდევ ერთი შეთავაზება, რომ მას ადმინისტრაციული და კვლევითი საქმიანობის განხორციელებაც</w:t>
      </w:r>
      <w:r w:rsidR="00136AEA" w:rsidRPr="00FE223D">
        <w:rPr>
          <w:rFonts w:ascii="Sylfaen" w:hAnsi="Sylfaen"/>
          <w:lang w:val="ka-GE"/>
        </w:rPr>
        <w:t xml:space="preserve"> </w:t>
      </w:r>
      <w:r w:rsidR="00136AEA" w:rsidRPr="00FE223D">
        <w:rPr>
          <w:rFonts w:ascii="Sylfaen" w:hAnsi="Sylfaen"/>
          <w:lang w:val="ka-GE"/>
        </w:rPr>
        <w:t>შეეძლო</w:t>
      </w:r>
      <w:r w:rsidR="00685507" w:rsidRPr="00FE223D">
        <w:rPr>
          <w:rFonts w:ascii="Sylfaen" w:hAnsi="Sylfaen"/>
          <w:lang w:val="ka-GE"/>
        </w:rPr>
        <w:t>. უნივერსიტეტმა მას 2017 წლის 8 ივლისს უპასუხა. უნივერსიტეტის თქმით, ვაკანსია საჯარო სამართლის ლექტორის პოსტზე გამო</w:t>
      </w:r>
      <w:r w:rsidR="00777A06" w:rsidRPr="00FE223D">
        <w:rPr>
          <w:rFonts w:ascii="Sylfaen" w:hAnsi="Sylfaen"/>
          <w:lang w:val="ka-GE"/>
        </w:rPr>
        <w:t>ცხადდა</w:t>
      </w:r>
      <w:r w:rsidR="00685507" w:rsidRPr="00FE223D">
        <w:rPr>
          <w:rFonts w:ascii="Sylfaen" w:hAnsi="Sylfaen"/>
          <w:lang w:val="ka-GE"/>
        </w:rPr>
        <w:t>, რომელიც „მასწავლებლის პოზიციაა“</w:t>
      </w:r>
      <w:r w:rsidR="00777A06" w:rsidRPr="00FE223D">
        <w:rPr>
          <w:rFonts w:ascii="Sylfaen" w:hAnsi="Sylfaen"/>
          <w:lang w:val="ka-GE"/>
        </w:rPr>
        <w:t xml:space="preserve"> და</w:t>
      </w:r>
      <w:r w:rsidR="00685507" w:rsidRPr="00FE223D">
        <w:rPr>
          <w:rFonts w:ascii="Sylfaen" w:hAnsi="Sylfaen"/>
          <w:lang w:val="ka-GE"/>
        </w:rPr>
        <w:t xml:space="preserve"> პირველ რიგში, სწავლებას ითვალისწინებს. </w:t>
      </w:r>
      <w:r w:rsidR="00136AEA" w:rsidRPr="00FE223D">
        <w:rPr>
          <w:rFonts w:ascii="Sylfaen" w:hAnsi="Sylfaen"/>
          <w:lang w:val="ka-GE"/>
        </w:rPr>
        <w:t>უნივერსიტეტის პოზიციით,</w:t>
      </w:r>
      <w:r w:rsidR="00777A06" w:rsidRPr="00FE223D">
        <w:rPr>
          <w:rFonts w:ascii="Sylfaen" w:hAnsi="Sylfaen"/>
          <w:lang w:val="ka-GE"/>
        </w:rPr>
        <w:t xml:space="preserve"> თარჯიმნის ხარჯების მნიშვნელოვნად შემცირების მიზნით, მისი დასაქმების საჭიროებებთან შეუსაბამოა თანამდებობის ვალდებულებების ცვლილება ან უნივერსიტეტის სხვა თანამშრომლებზე სამუშაო </w:t>
      </w:r>
      <w:r w:rsidR="00136AEA" w:rsidRPr="00FE223D">
        <w:rPr>
          <w:rFonts w:ascii="Sylfaen" w:hAnsi="Sylfaen"/>
          <w:lang w:val="ka-GE"/>
        </w:rPr>
        <w:t>ვალდებულებების</w:t>
      </w:r>
      <w:r w:rsidR="00777A06" w:rsidRPr="00FE223D">
        <w:rPr>
          <w:rFonts w:ascii="Sylfaen" w:hAnsi="Sylfaen"/>
          <w:lang w:val="ka-GE"/>
        </w:rPr>
        <w:t xml:space="preserve"> გადანაწილება. მეტიც, უნივერსიტეტის მიხედვით, სწავლების აბსოლუტური უმრავლესობა, ფინანსური მოსაზრებებით, </w:t>
      </w:r>
      <w:r w:rsidR="00420826" w:rsidRPr="00FE223D">
        <w:rPr>
          <w:rFonts w:ascii="Sylfaen" w:hAnsi="Sylfaen"/>
          <w:lang w:val="ka-GE"/>
        </w:rPr>
        <w:t xml:space="preserve">დიდ ჯგუფებში უნდა ტარდებოდეს და არა ინდივიდუალურად, ცალკეული სტუდენტების  დისტანციური ზედამხედველობის გზით. ონლაინ ჩატის ან ჩაწერილი ლექციების მეშვეობით </w:t>
      </w:r>
      <w:r w:rsidR="00136AEA" w:rsidRPr="00FE223D">
        <w:rPr>
          <w:rFonts w:ascii="Sylfaen" w:hAnsi="Sylfaen"/>
          <w:lang w:val="ka-GE"/>
        </w:rPr>
        <w:t>სწავლებ</w:t>
      </w:r>
      <w:r w:rsidR="00136AEA" w:rsidRPr="00FE223D">
        <w:rPr>
          <w:rFonts w:ascii="Sylfaen" w:hAnsi="Sylfaen"/>
          <w:lang w:val="ka-GE"/>
        </w:rPr>
        <w:t>ა</w:t>
      </w:r>
      <w:r w:rsidR="00420826" w:rsidRPr="00FE223D">
        <w:rPr>
          <w:rFonts w:ascii="Sylfaen" w:hAnsi="Sylfaen"/>
          <w:lang w:val="ka-GE"/>
        </w:rPr>
        <w:t xml:space="preserve"> ზედმეტად შორს მიმავალი და შესაბამისად, არაგონივრული ცვლილებები</w:t>
      </w:r>
      <w:r w:rsidR="00136AEA" w:rsidRPr="00FE223D">
        <w:rPr>
          <w:rFonts w:ascii="Sylfaen" w:hAnsi="Sylfaen"/>
          <w:lang w:val="ka-GE"/>
        </w:rPr>
        <w:t xml:space="preserve"> იქნებოდა</w:t>
      </w:r>
      <w:r w:rsidR="00420826" w:rsidRPr="00FE223D">
        <w:rPr>
          <w:rFonts w:ascii="Sylfaen" w:hAnsi="Sylfaen"/>
          <w:lang w:val="ka-GE"/>
        </w:rPr>
        <w:t xml:space="preserve"> ს</w:t>
      </w:r>
      <w:r w:rsidR="001152CA" w:rsidRPr="00FE223D">
        <w:rPr>
          <w:rFonts w:ascii="Sylfaen" w:hAnsi="Sylfaen"/>
          <w:lang w:val="ka-GE"/>
        </w:rPr>
        <w:t>ო</w:t>
      </w:r>
      <w:r w:rsidR="00420826" w:rsidRPr="00FE223D">
        <w:rPr>
          <w:rFonts w:ascii="Sylfaen" w:hAnsi="Sylfaen"/>
          <w:lang w:val="ka-GE"/>
        </w:rPr>
        <w:t>დერტ</w:t>
      </w:r>
      <w:r w:rsidR="001152CA" w:rsidRPr="00FE223D">
        <w:rPr>
          <w:rFonts w:ascii="Sylfaen" w:hAnsi="Sylfaen"/>
          <w:lang w:val="ka-GE"/>
        </w:rPr>
        <w:t>ო</w:t>
      </w:r>
      <w:r w:rsidR="00420826" w:rsidRPr="00FE223D">
        <w:rPr>
          <w:rFonts w:ascii="Sylfaen" w:hAnsi="Sylfaen"/>
          <w:lang w:val="ka-GE"/>
        </w:rPr>
        <w:t xml:space="preserve">რნის უნივერსიტეტის საჯარო სამართლის პროგრამისთვის. მაშინაც კი, თუ </w:t>
      </w:r>
      <w:r w:rsidR="00420826" w:rsidRPr="00FE223D">
        <w:rPr>
          <w:rFonts w:ascii="Sylfaen" w:hAnsi="Sylfaen" w:cs="Sylfaen"/>
        </w:rPr>
        <w:t>ასეთი</w:t>
      </w:r>
      <w:r w:rsidR="00420826" w:rsidRPr="00FE223D">
        <w:rPr>
          <w:rFonts w:ascii="Sylfaen" w:hAnsi="Sylfaen"/>
        </w:rPr>
        <w:t xml:space="preserve"> </w:t>
      </w:r>
      <w:r w:rsidR="00420826" w:rsidRPr="00FE223D">
        <w:rPr>
          <w:rFonts w:ascii="Sylfaen" w:hAnsi="Sylfaen" w:cs="Sylfaen"/>
        </w:rPr>
        <w:t>ცვლილებები</w:t>
      </w:r>
      <w:r w:rsidR="00420826" w:rsidRPr="00FE223D">
        <w:rPr>
          <w:rFonts w:ascii="Sylfaen" w:hAnsi="Sylfaen"/>
        </w:rPr>
        <w:t xml:space="preserve"> </w:t>
      </w:r>
      <w:r w:rsidR="00420826" w:rsidRPr="00FE223D">
        <w:rPr>
          <w:rFonts w:ascii="Sylfaen" w:hAnsi="Sylfaen" w:cs="Sylfaen"/>
        </w:rPr>
        <w:t>გარკვეული</w:t>
      </w:r>
      <w:r w:rsidR="00420826" w:rsidRPr="00FE223D">
        <w:rPr>
          <w:rFonts w:ascii="Sylfaen" w:hAnsi="Sylfaen"/>
        </w:rPr>
        <w:t xml:space="preserve"> </w:t>
      </w:r>
      <w:r w:rsidR="00420826" w:rsidRPr="00FE223D">
        <w:rPr>
          <w:rFonts w:ascii="Sylfaen" w:hAnsi="Sylfaen" w:cs="Sylfaen"/>
        </w:rPr>
        <w:t>ხარისხი</w:t>
      </w:r>
      <w:r w:rsidR="00420826" w:rsidRPr="00FE223D">
        <w:rPr>
          <w:rFonts w:ascii="Sylfaen" w:hAnsi="Sylfaen" w:cs="Sylfaen"/>
          <w:lang w:val="ka-GE"/>
        </w:rPr>
        <w:t xml:space="preserve">თ განხორციელდება, ისინი მნიშვნელოვნად ვერ </w:t>
      </w:r>
      <w:r w:rsidR="00136AEA" w:rsidRPr="00FE223D">
        <w:rPr>
          <w:rFonts w:ascii="Sylfaen" w:hAnsi="Sylfaen" w:cs="Sylfaen"/>
          <w:lang w:val="ka-GE"/>
        </w:rPr>
        <w:t>ჩაანაცვლებენ</w:t>
      </w:r>
      <w:r w:rsidR="00C939F6" w:rsidRPr="00FE223D">
        <w:rPr>
          <w:rFonts w:ascii="Sylfaen" w:hAnsi="Sylfaen" w:cs="Sylfaen"/>
          <w:lang w:val="ka-GE"/>
        </w:rPr>
        <w:t xml:space="preserve"> თარჯიმნის მხარდაჭერის საჭიროებას. </w:t>
      </w:r>
    </w:p>
    <w:p w14:paraId="07E6864A" w14:textId="45EC60AC" w:rsidR="00515674" w:rsidRPr="00FE223D" w:rsidRDefault="00F0037F" w:rsidP="00515674">
      <w:pPr>
        <w:pStyle w:val="SingleTxtG"/>
        <w:rPr>
          <w:rFonts w:ascii="Sylfaen" w:hAnsi="Sylfaen"/>
          <w:lang w:val="ka-GE"/>
        </w:rPr>
      </w:pPr>
      <w:r w:rsidRPr="00FE223D">
        <w:rPr>
          <w:rFonts w:ascii="Sylfaen" w:hAnsi="Sylfaen"/>
        </w:rPr>
        <w:t>4.13</w:t>
      </w:r>
      <w:r w:rsidRPr="00FE223D">
        <w:rPr>
          <w:rFonts w:ascii="Sylfaen" w:hAnsi="Sylfaen"/>
        </w:rPr>
        <w:tab/>
      </w:r>
      <w:r w:rsidR="00C939F6" w:rsidRPr="00FE223D">
        <w:rPr>
          <w:rFonts w:ascii="Sylfaen" w:hAnsi="Sylfaen"/>
          <w:lang w:val="ka-GE"/>
        </w:rPr>
        <w:t xml:space="preserve">2016 წლის 16 ნოემბერს, თანასწორობის </w:t>
      </w:r>
      <w:r w:rsidR="00440EF1" w:rsidRPr="00FE223D">
        <w:rPr>
          <w:rFonts w:ascii="Sylfaen" w:hAnsi="Sylfaen"/>
          <w:lang w:val="ka-GE"/>
        </w:rPr>
        <w:t>ომბუდსმე</w:t>
      </w:r>
      <w:r w:rsidR="00C939F6" w:rsidRPr="00FE223D">
        <w:rPr>
          <w:rFonts w:ascii="Sylfaen" w:hAnsi="Sylfaen"/>
          <w:lang w:val="ka-GE"/>
        </w:rPr>
        <w:t xml:space="preserve">ნმა სახელმწიფოს წინააღმდეგ შრომის სასამართლოში შეიტანა სარჩელი. სასამართლომ 2017 წლის 4 აპრილს მოსამზადებელი სხდომა გამართა, რომელიც ერთი საათი გრძელდებოდა. მთავარი სხდომა 2017 წლის 30 აგვისტოს გაიმართა. ხუთი მოსამართლისა და სასამართლოს მდივნის გარდა, </w:t>
      </w:r>
      <w:r w:rsidR="00136AEA" w:rsidRPr="00FE223D">
        <w:rPr>
          <w:rFonts w:ascii="Sylfaen" w:hAnsi="Sylfaen"/>
          <w:lang w:val="ka-GE"/>
        </w:rPr>
        <w:t xml:space="preserve">სასამართლოს </w:t>
      </w:r>
      <w:r w:rsidR="00C939F6" w:rsidRPr="00FE223D">
        <w:rPr>
          <w:rFonts w:ascii="Sylfaen" w:hAnsi="Sylfaen"/>
          <w:lang w:val="ka-GE"/>
        </w:rPr>
        <w:t xml:space="preserve">თანასწორობის </w:t>
      </w:r>
      <w:r w:rsidR="00440EF1" w:rsidRPr="00FE223D">
        <w:rPr>
          <w:rFonts w:ascii="Sylfaen" w:hAnsi="Sylfaen"/>
          <w:lang w:val="ka-GE"/>
        </w:rPr>
        <w:t>ომბუდსმე</w:t>
      </w:r>
      <w:r w:rsidR="00C939F6" w:rsidRPr="00FE223D">
        <w:rPr>
          <w:rFonts w:ascii="Sylfaen" w:hAnsi="Sylfaen"/>
          <w:lang w:val="ka-GE"/>
        </w:rPr>
        <w:t xml:space="preserve">ნის ორი ადვოკატი, უნივერსიტეტის ადვოკატი, თავად მომჩივანი და ორი ჟესტური ენის თარჯიმანი ესწრებოდა. მოსმენა საათსა და 50 წუთს გაგრძელდა. </w:t>
      </w:r>
    </w:p>
    <w:p w14:paraId="66C4BB02" w14:textId="2BA748FC" w:rsidR="005C128E" w:rsidRPr="00FE223D" w:rsidRDefault="00F0037F" w:rsidP="00515674">
      <w:pPr>
        <w:pStyle w:val="SingleTxtG"/>
        <w:rPr>
          <w:rFonts w:ascii="Sylfaen" w:hAnsi="Sylfaen"/>
          <w:lang w:val="ka-GE"/>
        </w:rPr>
      </w:pPr>
      <w:r w:rsidRPr="00FE223D">
        <w:rPr>
          <w:rFonts w:ascii="Sylfaen" w:hAnsi="Sylfaen"/>
        </w:rPr>
        <w:t>4.14</w:t>
      </w:r>
      <w:r w:rsidRPr="00FE223D">
        <w:rPr>
          <w:rFonts w:ascii="Sylfaen" w:hAnsi="Sylfaen"/>
        </w:rPr>
        <w:tab/>
      </w:r>
      <w:r w:rsidR="00225871" w:rsidRPr="00FE223D">
        <w:rPr>
          <w:rFonts w:ascii="Sylfaen" w:hAnsi="Sylfaen"/>
          <w:lang w:val="ka-GE"/>
        </w:rPr>
        <w:t>სახელმწიფო მხარე აცხადებს, რომ ავტორის მიერ მითითებული 187 მილიონი შვედური კრონას (</w:t>
      </w:r>
      <w:r w:rsidR="00225871" w:rsidRPr="00FE223D">
        <w:rPr>
          <w:rFonts w:ascii="Sylfaen" w:hAnsi="Sylfaen"/>
          <w:lang w:val="en-US"/>
        </w:rPr>
        <w:t xml:space="preserve">SEK) </w:t>
      </w:r>
      <w:r w:rsidR="00225871" w:rsidRPr="00FE223D">
        <w:rPr>
          <w:rFonts w:ascii="Sylfaen" w:hAnsi="Sylfaen"/>
          <w:lang w:val="ka-GE"/>
        </w:rPr>
        <w:t xml:space="preserve">რაოდენობის სავარაუდო „გამოუყენებელი </w:t>
      </w:r>
      <w:r w:rsidR="004F20B1" w:rsidRPr="00FE223D">
        <w:rPr>
          <w:rFonts w:ascii="Sylfaen" w:hAnsi="Sylfaen"/>
          <w:lang w:val="ka-GE"/>
        </w:rPr>
        <w:t>ფინანსური კონტრიბუციები</w:t>
      </w:r>
      <w:r w:rsidR="00225871" w:rsidRPr="00FE223D">
        <w:rPr>
          <w:rFonts w:ascii="Sylfaen" w:hAnsi="Sylfaen"/>
          <w:lang w:val="ka-GE"/>
        </w:rPr>
        <w:t xml:space="preserve">“ ანუ უნივერსიტეტის 2016 წლის ბიუჯეტის ნამატი, არაზუსტია. „გამოუყენებელი </w:t>
      </w:r>
      <w:r w:rsidR="004F20B1" w:rsidRPr="00FE223D">
        <w:rPr>
          <w:rFonts w:ascii="Sylfaen" w:hAnsi="Sylfaen"/>
          <w:lang w:val="ka-GE"/>
        </w:rPr>
        <w:t>ფინანსური კონტრიბუციები</w:t>
      </w:r>
      <w:r w:rsidR="00225871" w:rsidRPr="00FE223D">
        <w:rPr>
          <w:rFonts w:ascii="Sylfaen" w:hAnsi="Sylfaen"/>
          <w:lang w:val="ka-GE"/>
        </w:rPr>
        <w:t>“</w:t>
      </w:r>
      <w:r w:rsidR="00F4489F" w:rsidRPr="00FE223D">
        <w:rPr>
          <w:rFonts w:ascii="Sylfaen" w:hAnsi="Sylfaen"/>
          <w:lang w:val="ka-GE"/>
        </w:rPr>
        <w:t>,</w:t>
      </w:r>
      <w:r w:rsidR="00225871" w:rsidRPr="00FE223D">
        <w:rPr>
          <w:rFonts w:ascii="Sylfaen" w:hAnsi="Sylfaen"/>
          <w:lang w:val="ka-GE"/>
        </w:rPr>
        <w:t xml:space="preserve"> </w:t>
      </w:r>
      <w:r w:rsidR="00F4489F" w:rsidRPr="00FE223D">
        <w:rPr>
          <w:rFonts w:ascii="Sylfaen" w:hAnsi="Sylfaen"/>
          <w:lang w:val="ka-GE"/>
        </w:rPr>
        <w:t xml:space="preserve">ძირითადად, გარე დამფინანსებლების მიერ კვლევითი პროექტების ფინანსურ უზრუნველყოფას მიემართება, ანუ, თანხებს, რომლებიც უნივერსიტეტის აქტივობებში ჯერ არ გახარჯულა. ისინი კვლევითი პროექტებისთვისაა განკუთვნილი და მათი გამოყენება სხვა მიზნებისთვის შეუძლებელია. ავტორმა </w:t>
      </w:r>
      <w:r w:rsidR="00E3145A" w:rsidRPr="00FE223D">
        <w:rPr>
          <w:rFonts w:ascii="Sylfaen" w:hAnsi="Sylfaen"/>
          <w:lang w:val="ka-GE"/>
        </w:rPr>
        <w:t>მიუთითა უნივერსიტეტის სააგენტოს კაპიტალზე</w:t>
      </w:r>
      <w:r w:rsidR="003718A2" w:rsidRPr="00FE223D">
        <w:rPr>
          <w:rFonts w:ascii="Sylfaen" w:hAnsi="Sylfaen"/>
          <w:lang w:val="ka-GE"/>
        </w:rPr>
        <w:t>ც</w:t>
      </w:r>
      <w:r w:rsidR="00E3145A" w:rsidRPr="00FE223D">
        <w:rPr>
          <w:rFonts w:ascii="Sylfaen" w:hAnsi="Sylfaen"/>
          <w:lang w:val="ka-GE"/>
        </w:rPr>
        <w:t>, რომელიც ისეთი თანხაა, რომელიც გროვდება მაშინ, როცა საჯარო უნივერსიტეტი საჯარო კვლევითი და საგანმანათლებლო მიზნებით მიღებულ მთლიან თანხას არ გახარჯავს. სააგენტოს კაპიტალი არაა ყოველწლიური შემო</w:t>
      </w:r>
      <w:r w:rsidR="003718A2" w:rsidRPr="00FE223D">
        <w:rPr>
          <w:rFonts w:ascii="Sylfaen" w:hAnsi="Sylfaen"/>
          <w:lang w:val="ka-GE"/>
        </w:rPr>
        <w:t>ს</w:t>
      </w:r>
      <w:r w:rsidR="00E3145A" w:rsidRPr="00FE223D">
        <w:rPr>
          <w:rFonts w:ascii="Sylfaen" w:hAnsi="Sylfaen"/>
          <w:lang w:val="ka-GE"/>
        </w:rPr>
        <w:t xml:space="preserve">ავლის წყარო და გამოყენებული </w:t>
      </w:r>
      <w:r w:rsidR="003718A2" w:rsidRPr="00FE223D">
        <w:rPr>
          <w:rFonts w:ascii="Sylfaen" w:hAnsi="Sylfaen"/>
          <w:lang w:val="ka-GE"/>
        </w:rPr>
        <w:t xml:space="preserve">უნდა იყოს </w:t>
      </w:r>
      <w:r w:rsidR="00E3145A" w:rsidRPr="00FE223D">
        <w:rPr>
          <w:rFonts w:ascii="Sylfaen" w:hAnsi="Sylfaen"/>
          <w:lang w:val="ka-GE"/>
        </w:rPr>
        <w:t xml:space="preserve">მხოლოდ იმ მიზნით, რის გამოც ის უნივერსიტეტმა მიიღო. საბოლოოდ, როდესაც ავტორი </w:t>
      </w:r>
      <w:r w:rsidR="005C128E" w:rsidRPr="00FE223D">
        <w:rPr>
          <w:rFonts w:ascii="Sylfaen" w:hAnsi="Sylfaen"/>
          <w:lang w:val="ka-GE"/>
        </w:rPr>
        <w:t xml:space="preserve">ცენტრალური სახელმწიფოს 2016 წლის ბიუჯეტის </w:t>
      </w:r>
      <w:r w:rsidR="003718A2" w:rsidRPr="00FE223D">
        <w:rPr>
          <w:rFonts w:ascii="Sylfaen" w:hAnsi="Sylfaen"/>
          <w:lang w:val="ka-GE"/>
        </w:rPr>
        <w:t>36,5 მილიარდი შვედური კრონას (</w:t>
      </w:r>
      <w:r w:rsidR="003718A2" w:rsidRPr="00FE223D">
        <w:rPr>
          <w:rFonts w:ascii="Sylfaen" w:hAnsi="Sylfaen"/>
          <w:lang w:val="en-US"/>
        </w:rPr>
        <w:t xml:space="preserve">SEK) </w:t>
      </w:r>
      <w:r w:rsidR="003718A2" w:rsidRPr="00FE223D">
        <w:rPr>
          <w:rFonts w:ascii="Sylfaen" w:hAnsi="Sylfaen"/>
          <w:lang w:val="ka-GE"/>
        </w:rPr>
        <w:t>რაოდენობი</w:t>
      </w:r>
      <w:r w:rsidR="003718A2" w:rsidRPr="00FE223D">
        <w:rPr>
          <w:rFonts w:ascii="Sylfaen" w:hAnsi="Sylfaen"/>
          <w:lang w:val="ka-GE"/>
        </w:rPr>
        <w:t xml:space="preserve">ს </w:t>
      </w:r>
      <w:r w:rsidR="005C128E" w:rsidRPr="00FE223D">
        <w:rPr>
          <w:rFonts w:ascii="Sylfaen" w:hAnsi="Sylfaen"/>
          <w:lang w:val="ka-GE"/>
        </w:rPr>
        <w:t>„ნამატზე“</w:t>
      </w:r>
      <w:r w:rsidR="003718A2" w:rsidRPr="00FE223D">
        <w:rPr>
          <w:rFonts w:ascii="Sylfaen" w:hAnsi="Sylfaen"/>
          <w:lang w:val="ka-GE"/>
        </w:rPr>
        <w:t xml:space="preserve"> </w:t>
      </w:r>
      <w:r w:rsidR="003718A2" w:rsidRPr="00FE223D">
        <w:rPr>
          <w:rFonts w:ascii="Sylfaen" w:hAnsi="Sylfaen"/>
          <w:lang w:val="ka-GE"/>
        </w:rPr>
        <w:t>მიუთითებს</w:t>
      </w:r>
      <w:r w:rsidR="005C128E" w:rsidRPr="00FE223D">
        <w:rPr>
          <w:rFonts w:ascii="Sylfaen" w:hAnsi="Sylfaen"/>
          <w:lang w:val="ka-GE"/>
        </w:rPr>
        <w:t xml:space="preserve">, აქ უნდა აღინიშნოს, რომ ფისკალური პოლიტიკის ჩარჩოს ერთ-ერთი მთავარი ელემენტი კანონმდებლური, დისციპლინირებული ცენტრალური მთავრობის საბიუჯეტო პროცესია, რომელშიც ერთმანეთის წინააღმდეგ სხვადასხვა </w:t>
      </w:r>
      <w:r w:rsidR="005C128E" w:rsidRPr="00FE223D">
        <w:rPr>
          <w:rFonts w:ascii="Sylfaen" w:hAnsi="Sylfaen"/>
          <w:lang w:val="ka-GE"/>
        </w:rPr>
        <w:lastRenderedPageBreak/>
        <w:t>ხარჯებია დაწესებული. შეზღუდული შესაძლებლობის მქონე პირთა უფლებებისა და შესაძლებლობების ხელშეწყობისა და დაცვის ღონისძიებები მოცემულია ბიუჯეტ</w:t>
      </w:r>
      <w:r w:rsidR="00515674" w:rsidRPr="00FE223D">
        <w:rPr>
          <w:rFonts w:ascii="Sylfaen" w:hAnsi="Sylfaen"/>
          <w:lang w:val="ka-GE"/>
        </w:rPr>
        <w:t>ში,</w:t>
      </w:r>
      <w:r w:rsidR="005C128E" w:rsidRPr="00FE223D">
        <w:rPr>
          <w:rFonts w:ascii="Sylfaen" w:hAnsi="Sylfaen"/>
          <w:lang w:val="ka-GE"/>
        </w:rPr>
        <w:t xml:space="preserve"> </w:t>
      </w:r>
      <w:r w:rsidR="00515674" w:rsidRPr="00FE223D">
        <w:rPr>
          <w:rFonts w:ascii="Sylfaen" w:hAnsi="Sylfaen"/>
          <w:lang w:val="ka-GE"/>
        </w:rPr>
        <w:t>დანახარჯების სხვადასხვა განყოფილებაში</w:t>
      </w:r>
      <w:r w:rsidR="005C128E" w:rsidRPr="00FE223D">
        <w:rPr>
          <w:rFonts w:ascii="Sylfaen" w:hAnsi="Sylfaen"/>
          <w:lang w:val="ka-GE"/>
        </w:rPr>
        <w:t>. 2016 წელს შვედეთის სახელმწიფო ვალმა 1</w:t>
      </w:r>
      <w:r w:rsidR="00515674" w:rsidRPr="00FE223D">
        <w:rPr>
          <w:rFonts w:ascii="Sylfaen" w:hAnsi="Sylfaen"/>
          <w:lang w:val="ka-GE"/>
        </w:rPr>
        <w:t xml:space="preserve"> </w:t>
      </w:r>
      <w:r w:rsidR="005C128E" w:rsidRPr="00FE223D">
        <w:rPr>
          <w:rFonts w:ascii="Sylfaen" w:hAnsi="Sylfaen"/>
          <w:lang w:val="ka-GE"/>
        </w:rPr>
        <w:t xml:space="preserve">292 მილიარდი </w:t>
      </w:r>
      <w:r w:rsidR="00515674" w:rsidRPr="00FE223D">
        <w:rPr>
          <w:rFonts w:ascii="Sylfaen" w:hAnsi="Sylfaen"/>
          <w:lang w:val="ka-GE"/>
        </w:rPr>
        <w:t>შვედური კრონა (</w:t>
      </w:r>
      <w:r w:rsidR="005C128E" w:rsidRPr="00FE223D">
        <w:rPr>
          <w:rFonts w:ascii="Sylfaen" w:hAnsi="Sylfaen"/>
          <w:lang w:val="ka-GE"/>
        </w:rPr>
        <w:t>SEK</w:t>
      </w:r>
      <w:r w:rsidR="00515674" w:rsidRPr="00FE223D">
        <w:rPr>
          <w:rFonts w:ascii="Sylfaen" w:hAnsi="Sylfaen"/>
          <w:lang w:val="ka-GE"/>
        </w:rPr>
        <w:t>) შეადგინა</w:t>
      </w:r>
      <w:r w:rsidR="00515674" w:rsidRPr="00FE223D">
        <w:rPr>
          <w:rStyle w:val="FootnoteReference"/>
          <w:rFonts w:ascii="Sylfaen" w:hAnsi="Sylfaen"/>
        </w:rPr>
        <w:footnoteReference w:id="12"/>
      </w:r>
      <w:r w:rsidR="005C128E" w:rsidRPr="00FE223D">
        <w:rPr>
          <w:rFonts w:ascii="Sylfaen" w:hAnsi="Sylfaen"/>
          <w:lang w:val="ka-GE"/>
        </w:rPr>
        <w:t>.</w:t>
      </w:r>
    </w:p>
    <w:p w14:paraId="0FFC751D" w14:textId="05E6A3EB" w:rsidR="00251426" w:rsidRPr="00FE223D" w:rsidRDefault="00F0037F" w:rsidP="00954286">
      <w:pPr>
        <w:pStyle w:val="SingleTxtG"/>
        <w:rPr>
          <w:rFonts w:ascii="Sylfaen" w:hAnsi="Sylfaen"/>
          <w:lang w:val="ka-GE"/>
        </w:rPr>
      </w:pPr>
      <w:r w:rsidRPr="00FE223D">
        <w:rPr>
          <w:rFonts w:ascii="Sylfaen" w:hAnsi="Sylfaen"/>
        </w:rPr>
        <w:t>4.15</w:t>
      </w:r>
      <w:r w:rsidRPr="00FE223D">
        <w:rPr>
          <w:rFonts w:ascii="Sylfaen" w:hAnsi="Sylfaen"/>
        </w:rPr>
        <w:tab/>
      </w:r>
      <w:r w:rsidR="00251426" w:rsidRPr="00FE223D">
        <w:rPr>
          <w:rFonts w:ascii="Sylfaen" w:hAnsi="Sylfaen"/>
          <w:lang w:val="ka-GE"/>
        </w:rPr>
        <w:t xml:space="preserve">საჩივრის დასაშვებობასთან დაკაშვირებით, სახელმწიფო მხარე აცხადებს, რომ ის არაა საქმის კურსში იმის შესახებ, ექვემდებარება თუ არა მოცემული საკითხი გამოძიების ან მოგვარების სხვა საერთაშორისო პროცედურებს. </w:t>
      </w:r>
    </w:p>
    <w:p w14:paraId="4AD32F9F" w14:textId="0CEE9959" w:rsidR="00251426" w:rsidRPr="00FE223D" w:rsidRDefault="00F0037F" w:rsidP="00954286">
      <w:pPr>
        <w:pStyle w:val="SingleTxtG"/>
        <w:rPr>
          <w:rFonts w:ascii="Sylfaen" w:hAnsi="Sylfaen"/>
          <w:lang w:val="ka-GE"/>
        </w:rPr>
      </w:pPr>
      <w:r w:rsidRPr="00FE223D">
        <w:rPr>
          <w:rFonts w:ascii="Sylfaen" w:hAnsi="Sylfaen"/>
        </w:rPr>
        <w:t>4.16</w:t>
      </w:r>
      <w:r w:rsidRPr="00FE223D">
        <w:rPr>
          <w:rFonts w:ascii="Sylfaen" w:hAnsi="Sylfaen"/>
        </w:rPr>
        <w:tab/>
      </w:r>
      <w:r w:rsidR="00251426" w:rsidRPr="00FE223D">
        <w:rPr>
          <w:rFonts w:ascii="Sylfaen" w:hAnsi="Sylfaen"/>
          <w:lang w:val="ka-GE"/>
        </w:rPr>
        <w:t>რაც შეეხება ადგილობრივი სამართლე</w:t>
      </w:r>
      <w:r w:rsidR="003718A2" w:rsidRPr="00FE223D">
        <w:rPr>
          <w:rFonts w:ascii="Sylfaen" w:hAnsi="Sylfaen"/>
          <w:lang w:val="ka-GE"/>
        </w:rPr>
        <w:t>ბ</w:t>
      </w:r>
      <w:r w:rsidR="00251426" w:rsidRPr="00FE223D">
        <w:rPr>
          <w:rFonts w:ascii="Sylfaen" w:hAnsi="Sylfaen"/>
          <w:lang w:val="ka-GE"/>
        </w:rPr>
        <w:t xml:space="preserve">რივი საშუალებების ამოწურვას, სახელმწიფო მხარე აცხადებს, რომ ავტორმა ადმინისტრაციული სასამართლოს გადაწყვეტილება სტოკჰოლმის ადმინისტრაციულ სააპელაციო სასამართლოში გაასაჩივრა, რომელმაც 2017 წლის 7 აპრილს </w:t>
      </w:r>
      <w:r w:rsidR="00BD6FFE" w:rsidRPr="00FE223D">
        <w:rPr>
          <w:rFonts w:ascii="Sylfaen" w:hAnsi="Sylfaen"/>
          <w:lang w:val="ka-GE"/>
        </w:rPr>
        <w:t>გადაწყვიტა,</w:t>
      </w:r>
      <w:r w:rsidR="00251426" w:rsidRPr="00FE223D">
        <w:rPr>
          <w:rFonts w:ascii="Sylfaen" w:hAnsi="Sylfaen"/>
          <w:lang w:val="ka-GE"/>
        </w:rPr>
        <w:t xml:space="preserve"> ავტორისთვის გასაჩივრების უფლება არ მიეცა. ად</w:t>
      </w:r>
      <w:r w:rsidR="00BD6FFE" w:rsidRPr="00FE223D">
        <w:rPr>
          <w:rFonts w:ascii="Sylfaen" w:hAnsi="Sylfaen"/>
          <w:lang w:val="ka-GE"/>
        </w:rPr>
        <w:t>მინისტრაციული სააპელაციო სასამართლოს გადაწყვეტილების გასაჩივრება შესაძლებელია უზენაეს ადმინისტრაციულ სასამართლოში</w:t>
      </w:r>
      <w:r w:rsidR="00A3630B" w:rsidRPr="00FE223D">
        <w:rPr>
          <w:rFonts w:ascii="Sylfaen" w:hAnsi="Sylfaen"/>
          <w:lang w:val="ka-GE"/>
        </w:rPr>
        <w:t>,</w:t>
      </w:r>
      <w:r w:rsidR="00BD6FFE" w:rsidRPr="00FE223D">
        <w:rPr>
          <w:rFonts w:ascii="Sylfaen" w:hAnsi="Sylfaen"/>
          <w:lang w:val="ka-GE"/>
        </w:rPr>
        <w:t xml:space="preserve"> დანართზე</w:t>
      </w:r>
      <w:r w:rsidR="003576E8" w:rsidRPr="00FE223D">
        <w:rPr>
          <w:rFonts w:ascii="Sylfaen" w:hAnsi="Sylfaen"/>
          <w:lang w:val="ka-GE"/>
        </w:rPr>
        <w:t xml:space="preserve"> </w:t>
      </w:r>
      <w:r w:rsidR="00A3630B" w:rsidRPr="00FE223D">
        <w:rPr>
          <w:rFonts w:ascii="Sylfaen" w:hAnsi="Sylfaen"/>
          <w:lang w:val="ka-GE"/>
        </w:rPr>
        <w:t>გასაჩივრების გზების შესახებ ინფორმაციის</w:t>
      </w:r>
      <w:r w:rsidR="00BD6FFE" w:rsidRPr="00FE223D">
        <w:rPr>
          <w:rFonts w:ascii="Sylfaen" w:hAnsi="Sylfaen"/>
          <w:lang w:val="ka-GE"/>
        </w:rPr>
        <w:t xml:space="preserve"> მითითებით</w:t>
      </w:r>
      <w:r w:rsidR="00A3630B" w:rsidRPr="00FE223D">
        <w:rPr>
          <w:rFonts w:ascii="Sylfaen" w:hAnsi="Sylfaen"/>
          <w:lang w:val="ka-GE"/>
        </w:rPr>
        <w:t xml:space="preserve">. </w:t>
      </w:r>
      <w:r w:rsidR="003576E8" w:rsidRPr="00FE223D">
        <w:rPr>
          <w:rFonts w:ascii="Sylfaen" w:hAnsi="Sylfaen"/>
          <w:lang w:val="ka-GE"/>
        </w:rPr>
        <w:t xml:space="preserve">ავტორი ასე არ მოიქცა. ამგვარ გასაჩივრებას, შესაძლოა, მოჰყოლოდა დასკვნა, რომ ავტორს უნივერსიტეტის გადაწყვეტილების გასაჩივრების უფლება ჰქონდა. </w:t>
      </w:r>
      <w:r w:rsidR="00C049B0" w:rsidRPr="00FE223D">
        <w:rPr>
          <w:rFonts w:ascii="Sylfaen" w:hAnsi="Sylfaen"/>
          <w:lang w:val="ka-GE"/>
        </w:rPr>
        <w:t xml:space="preserve">მეტიც, ამგვარ გასაჩივრებას, შესაძლოა, მოჰყოლოდა ისიც, რომ უზენაეს ადმინისტრაციულ სასამართლოს </w:t>
      </w:r>
      <w:r w:rsidR="003547DD" w:rsidRPr="00FE223D">
        <w:rPr>
          <w:rFonts w:ascii="Sylfaen" w:hAnsi="Sylfaen"/>
          <w:lang w:val="ka-GE"/>
        </w:rPr>
        <w:t>უნივერსიტეტის გადაწყვეტილების გაუქმების შესახებ</w:t>
      </w:r>
      <w:r w:rsidR="003547DD" w:rsidRPr="00FE223D">
        <w:rPr>
          <w:rFonts w:ascii="Sylfaen" w:hAnsi="Sylfaen"/>
          <w:lang w:val="ka-GE"/>
        </w:rPr>
        <w:t xml:space="preserve"> </w:t>
      </w:r>
      <w:r w:rsidR="003547DD" w:rsidRPr="00FE223D">
        <w:rPr>
          <w:rFonts w:ascii="Sylfaen" w:hAnsi="Sylfaen"/>
          <w:lang w:val="ka-GE"/>
        </w:rPr>
        <w:t>მომჩივნის მოთხოვნა</w:t>
      </w:r>
      <w:r w:rsidR="003547DD" w:rsidRPr="00FE223D">
        <w:rPr>
          <w:rFonts w:ascii="Sylfaen" w:hAnsi="Sylfaen"/>
          <w:lang w:val="ka-GE"/>
        </w:rPr>
        <w:t xml:space="preserve"> </w:t>
      </w:r>
      <w:r w:rsidR="00C049B0" w:rsidRPr="00FE223D">
        <w:rPr>
          <w:rFonts w:ascii="Sylfaen" w:hAnsi="Sylfaen"/>
          <w:lang w:val="ka-GE"/>
        </w:rPr>
        <w:t xml:space="preserve">განეხილა. არ არსებობს იმის საფუძველი ვივარაუდოთ, რომ ამგვარი საჩივარი წარუმატებელი ან უსაფუძვლოდ ხანგრძლივი იქნებოდა. შესაბამისად, სახელმწიფო მხარე მიიჩნევს, რომ ავტორმა </w:t>
      </w:r>
      <w:r w:rsidR="007847D2" w:rsidRPr="00FE223D">
        <w:rPr>
          <w:rFonts w:ascii="Sylfaen" w:hAnsi="Sylfaen"/>
          <w:lang w:val="ka-GE"/>
        </w:rPr>
        <w:t xml:space="preserve">ადგილობრივი სამართლებრივი </w:t>
      </w:r>
      <w:r w:rsidR="007847D2" w:rsidRPr="00FE223D">
        <w:rPr>
          <w:rFonts w:ascii="Sylfaen" w:hAnsi="Sylfaen"/>
          <w:lang w:val="ka-GE"/>
        </w:rPr>
        <w:t xml:space="preserve">ყველა </w:t>
      </w:r>
      <w:r w:rsidR="007847D2" w:rsidRPr="00FE223D">
        <w:rPr>
          <w:rFonts w:ascii="Sylfaen" w:hAnsi="Sylfaen"/>
          <w:lang w:val="ka-GE"/>
        </w:rPr>
        <w:t xml:space="preserve">საშუალება </w:t>
      </w:r>
      <w:r w:rsidR="00C049B0" w:rsidRPr="00FE223D">
        <w:rPr>
          <w:rFonts w:ascii="Sylfaen" w:hAnsi="Sylfaen"/>
          <w:lang w:val="ka-GE"/>
        </w:rPr>
        <w:t>არ ამოწურა</w:t>
      </w:r>
      <w:r w:rsidR="007847D2" w:rsidRPr="00FE223D">
        <w:rPr>
          <w:rFonts w:ascii="Sylfaen" w:hAnsi="Sylfaen"/>
          <w:lang w:val="ka-GE"/>
        </w:rPr>
        <w:t>.</w:t>
      </w:r>
    </w:p>
    <w:p w14:paraId="31197E89" w14:textId="3E904A82" w:rsidR="00912090" w:rsidRPr="00FE223D" w:rsidRDefault="00F0037F" w:rsidP="00912090">
      <w:pPr>
        <w:pStyle w:val="SingleTxtG"/>
        <w:rPr>
          <w:rFonts w:ascii="Sylfaen" w:hAnsi="Sylfaen"/>
          <w:lang w:val="ka-GE"/>
        </w:rPr>
      </w:pPr>
      <w:r w:rsidRPr="00FE223D">
        <w:rPr>
          <w:rFonts w:ascii="Sylfaen" w:hAnsi="Sylfaen"/>
        </w:rPr>
        <w:t>4.17</w:t>
      </w:r>
      <w:r w:rsidRPr="00FE223D">
        <w:rPr>
          <w:rFonts w:ascii="Sylfaen" w:hAnsi="Sylfaen"/>
        </w:rPr>
        <w:tab/>
      </w:r>
      <w:r w:rsidR="00E51438" w:rsidRPr="00FE223D">
        <w:rPr>
          <w:rFonts w:ascii="Sylfaen" w:hAnsi="Sylfaen"/>
          <w:lang w:val="ka-GE"/>
        </w:rPr>
        <w:t xml:space="preserve">ფაკულტატური ოქმის მე-2 </w:t>
      </w:r>
      <w:r w:rsidR="00E51438" w:rsidRPr="00FE223D">
        <w:rPr>
          <w:rFonts w:ascii="Sylfaen" w:hAnsi="Sylfaen"/>
          <w:lang w:val="en-US"/>
        </w:rPr>
        <w:t xml:space="preserve">(c) </w:t>
      </w:r>
      <w:r w:rsidR="00E51438" w:rsidRPr="00FE223D">
        <w:rPr>
          <w:rFonts w:ascii="Sylfaen" w:hAnsi="Sylfaen"/>
          <w:lang w:val="ka-GE"/>
        </w:rPr>
        <w:t xml:space="preserve">და </w:t>
      </w:r>
      <w:r w:rsidR="00E51438" w:rsidRPr="00FE223D">
        <w:rPr>
          <w:rFonts w:ascii="Sylfaen" w:hAnsi="Sylfaen"/>
          <w:lang w:val="en-US"/>
        </w:rPr>
        <w:t>(d)</w:t>
      </w:r>
      <w:r w:rsidR="00E51438" w:rsidRPr="00FE223D">
        <w:rPr>
          <w:rFonts w:ascii="Sylfaen" w:hAnsi="Sylfaen"/>
          <w:lang w:val="ka-GE"/>
        </w:rPr>
        <w:t xml:space="preserve"> მუხლთან დაკავშირებით, კომიტეტის შემოწმების შედეგის მიუხედავად, სახელმწიფო მხარე მიიჩნევს, რომ შეტყობინება აშკარად დაუსაბუთებელია და ფაკულტატური ოქმის მე-</w:t>
      </w:r>
      <w:r w:rsidR="007847D2" w:rsidRPr="00FE223D">
        <w:rPr>
          <w:rFonts w:ascii="Sylfaen" w:hAnsi="Sylfaen"/>
          <w:lang w:val="ka-GE"/>
        </w:rPr>
        <w:t>2</w:t>
      </w:r>
      <w:r w:rsidR="00E51438" w:rsidRPr="00FE223D">
        <w:rPr>
          <w:rFonts w:ascii="Sylfaen" w:hAnsi="Sylfaen"/>
          <w:lang w:val="ka-GE"/>
        </w:rPr>
        <w:t xml:space="preserve"> (</w:t>
      </w:r>
      <w:r w:rsidR="00E51438" w:rsidRPr="00FE223D">
        <w:rPr>
          <w:rFonts w:ascii="Sylfaen" w:hAnsi="Sylfaen"/>
          <w:lang w:val="en-US"/>
        </w:rPr>
        <w:t xml:space="preserve">e) </w:t>
      </w:r>
      <w:r w:rsidR="00E51438" w:rsidRPr="00FE223D">
        <w:rPr>
          <w:rFonts w:ascii="Sylfaen" w:hAnsi="Sylfaen"/>
          <w:lang w:val="ka-GE"/>
        </w:rPr>
        <w:t xml:space="preserve">მუხლის შესაბამისად, </w:t>
      </w:r>
      <w:r w:rsidR="007826A7" w:rsidRPr="00FE223D">
        <w:rPr>
          <w:rFonts w:ascii="Sylfaen" w:hAnsi="Sylfaen"/>
          <w:lang w:val="ka-GE"/>
        </w:rPr>
        <w:t xml:space="preserve">დაუშვებელია. ამასთან დაკავშირებით, სახელმწიფო მხარე საქმის </w:t>
      </w:r>
      <w:r w:rsidR="002B7B6F" w:rsidRPr="00FE223D">
        <w:rPr>
          <w:rFonts w:ascii="Sylfaen" w:hAnsi="Sylfaen"/>
          <w:lang w:val="ka-GE"/>
        </w:rPr>
        <w:t xml:space="preserve">არსებით მხარესთან </w:t>
      </w:r>
      <w:r w:rsidR="007826A7" w:rsidRPr="00FE223D">
        <w:rPr>
          <w:rFonts w:ascii="Sylfaen" w:hAnsi="Sylfaen"/>
          <w:lang w:val="ka-GE"/>
        </w:rPr>
        <w:t xml:space="preserve">დაკავშირებულ არგუმენტებზე მიუთითებს, რომლებიც ქვემოთაა განხილული. </w:t>
      </w:r>
    </w:p>
    <w:p w14:paraId="45CBD234" w14:textId="7E9DF847" w:rsidR="007826A7" w:rsidRPr="00FE223D" w:rsidRDefault="00354C3C" w:rsidP="00B07541">
      <w:pPr>
        <w:pStyle w:val="SingleTxtG"/>
        <w:rPr>
          <w:rFonts w:ascii="Sylfaen" w:hAnsi="Sylfaen"/>
          <w:lang w:val="ka-GE"/>
        </w:rPr>
      </w:pPr>
      <w:r w:rsidRPr="00FE223D">
        <w:rPr>
          <w:rFonts w:ascii="Sylfaen" w:hAnsi="Sylfaen"/>
        </w:rPr>
        <w:t>4.18</w:t>
      </w:r>
      <w:r w:rsidRPr="00FE223D">
        <w:rPr>
          <w:rFonts w:ascii="Sylfaen" w:hAnsi="Sylfaen"/>
        </w:rPr>
        <w:tab/>
      </w:r>
      <w:r w:rsidR="007847D2" w:rsidRPr="00FE223D">
        <w:rPr>
          <w:rFonts w:ascii="Sylfaen" w:hAnsi="Sylfaen"/>
          <w:lang w:val="ka-GE"/>
        </w:rPr>
        <w:t xml:space="preserve">სახელმწიფო მხარის აზრით, </w:t>
      </w:r>
      <w:r w:rsidR="007826A7" w:rsidRPr="00FE223D">
        <w:rPr>
          <w:rFonts w:ascii="Sylfaen" w:hAnsi="Sylfaen"/>
          <w:lang w:val="ka-GE"/>
        </w:rPr>
        <w:t xml:space="preserve">თუ შეტყობინება მთლიანად დაუშვებლად არ გამოცხადდება, </w:t>
      </w:r>
      <w:r w:rsidR="002A3207" w:rsidRPr="00FE223D">
        <w:rPr>
          <w:rFonts w:ascii="Sylfaen" w:hAnsi="Sylfaen"/>
          <w:lang w:val="ka-GE"/>
        </w:rPr>
        <w:t>მისი ნაწილი მაინც უნდა გამოცხადდეს დაუშვებლად. შეტყობინების ავტორს არსებითი საჩივარი უნდა წარედგინა ადგილობრივ სასამართლოებში იმ ბრალდებებთან დაკავშირებით, რომელთა შესახებაც კომიტეტს მიმართა</w:t>
      </w:r>
      <w:r w:rsidR="002A3207" w:rsidRPr="00FE223D">
        <w:rPr>
          <w:rStyle w:val="FootnoteReference"/>
          <w:rFonts w:ascii="Sylfaen" w:hAnsi="Sylfaen"/>
        </w:rPr>
        <w:footnoteReference w:id="13"/>
      </w:r>
      <w:r w:rsidR="002A3207" w:rsidRPr="00FE223D">
        <w:rPr>
          <w:rFonts w:ascii="Sylfaen" w:hAnsi="Sylfaen"/>
          <w:lang w:val="ka-GE"/>
        </w:rPr>
        <w:t>. მოცემულ შეტყობინებაში, მომჩივანი ამტკიცებს, რომ „მის</w:t>
      </w:r>
      <w:r w:rsidR="007F442E" w:rsidRPr="00FE223D">
        <w:rPr>
          <w:rFonts w:ascii="Sylfaen" w:hAnsi="Sylfaen"/>
          <w:lang w:val="ka-GE"/>
        </w:rPr>
        <w:t>ი</w:t>
      </w:r>
      <w:r w:rsidR="002A3207" w:rsidRPr="00FE223D">
        <w:rPr>
          <w:rFonts w:ascii="Sylfaen" w:hAnsi="Sylfaen"/>
          <w:lang w:val="ka-GE"/>
        </w:rPr>
        <w:t xml:space="preserve"> საჭიროებებ</w:t>
      </w:r>
      <w:r w:rsidR="007F442E" w:rsidRPr="00FE223D">
        <w:rPr>
          <w:rFonts w:ascii="Sylfaen" w:hAnsi="Sylfaen"/>
          <w:lang w:val="ka-GE"/>
        </w:rPr>
        <w:t>ისა</w:t>
      </w:r>
      <w:r w:rsidR="002A3207" w:rsidRPr="00FE223D">
        <w:rPr>
          <w:rFonts w:ascii="Sylfaen" w:hAnsi="Sylfaen"/>
          <w:lang w:val="ka-GE"/>
        </w:rPr>
        <w:t xml:space="preserve"> </w:t>
      </w:r>
      <w:r w:rsidR="007F442E" w:rsidRPr="00FE223D">
        <w:rPr>
          <w:rFonts w:ascii="Sylfaen" w:hAnsi="Sylfaen"/>
          <w:lang w:val="ka-GE"/>
        </w:rPr>
        <w:t xml:space="preserve">და დასაქმების პირობების </w:t>
      </w:r>
      <w:r w:rsidR="007847D2" w:rsidRPr="00FE223D">
        <w:rPr>
          <w:rFonts w:ascii="Sylfaen" w:hAnsi="Sylfaen"/>
          <w:lang w:val="ka-GE"/>
        </w:rPr>
        <w:t>მოდიფიცირებაზე</w:t>
      </w:r>
      <w:r w:rsidR="007F442E" w:rsidRPr="00FE223D">
        <w:rPr>
          <w:rFonts w:ascii="Sylfaen" w:hAnsi="Sylfaen"/>
          <w:lang w:val="ka-GE"/>
        </w:rPr>
        <w:t xml:space="preserve"> დამაკმაყოფილებელი გამოსავლის მოძიების უარყოფა გონივრული მისადაგების უფლების დარღვევაა“. თუმცა შრომის სასამართლოს გადაწყვეტილება ნათლად აჩვენებს, რომ ავტორს </w:t>
      </w:r>
      <w:r w:rsidR="00FD26CD" w:rsidRPr="00FE223D">
        <w:rPr>
          <w:rFonts w:ascii="Sylfaen" w:hAnsi="Sylfaen"/>
          <w:lang w:val="ka-GE"/>
        </w:rPr>
        <w:t>ეს საკითხი ადგილობრივი იურისდიქციის წინაშე არ წამოუჭრია. ადგილობრივ სასამართლოში ეს დავა ექსკლუზიურად ჟესტური ენის თარჯიმნის ხარჯებს</w:t>
      </w:r>
      <w:r w:rsidR="007847D2" w:rsidRPr="00FE223D">
        <w:rPr>
          <w:rFonts w:ascii="Sylfaen" w:hAnsi="Sylfaen"/>
          <w:lang w:val="ka-GE"/>
        </w:rPr>
        <w:t>ა</w:t>
      </w:r>
      <w:r w:rsidR="00FD26CD" w:rsidRPr="00FE223D">
        <w:rPr>
          <w:rFonts w:ascii="Sylfaen" w:hAnsi="Sylfaen"/>
          <w:lang w:val="ka-GE"/>
        </w:rPr>
        <w:t xml:space="preserve"> და </w:t>
      </w:r>
      <w:r w:rsidR="007847D2" w:rsidRPr="00FE223D">
        <w:rPr>
          <w:rFonts w:ascii="Sylfaen" w:hAnsi="Sylfaen"/>
          <w:lang w:val="ka-GE"/>
        </w:rPr>
        <w:t xml:space="preserve">ხარჯების </w:t>
      </w:r>
      <w:r w:rsidR="00FD26CD" w:rsidRPr="00FE223D">
        <w:rPr>
          <w:rFonts w:ascii="Sylfaen" w:hAnsi="Sylfaen"/>
          <w:lang w:val="ka-GE"/>
        </w:rPr>
        <w:t xml:space="preserve">გონივრულობას შეეხებოდა. სხვა სიტყვებით რომ ვთქვათ, კომიტეტის </w:t>
      </w:r>
      <w:r w:rsidR="00FD26CD" w:rsidRPr="00FE223D">
        <w:rPr>
          <w:rFonts w:ascii="Sylfaen" w:hAnsi="Sylfaen"/>
        </w:rPr>
        <w:t>№</w:t>
      </w:r>
      <w:r w:rsidR="00FD26CD" w:rsidRPr="00FE223D">
        <w:rPr>
          <w:rFonts w:ascii="Sylfaen" w:hAnsi="Sylfaen"/>
          <w:lang w:val="ka-GE"/>
        </w:rPr>
        <w:t>6</w:t>
      </w:r>
      <w:r w:rsidR="00FD26CD" w:rsidRPr="00FE223D">
        <w:rPr>
          <w:rFonts w:ascii="Sylfaen" w:hAnsi="Sylfaen"/>
          <w:vertAlign w:val="superscript"/>
        </w:rPr>
        <w:footnoteReference w:id="14"/>
      </w:r>
      <w:r w:rsidR="00FD26CD" w:rsidRPr="00FE223D">
        <w:rPr>
          <w:rFonts w:ascii="Sylfaen" w:hAnsi="Sylfaen"/>
          <w:lang w:val="ka-GE"/>
        </w:rPr>
        <w:t xml:space="preserve"> ზოგად</w:t>
      </w:r>
      <w:r w:rsidR="007847D2" w:rsidRPr="00FE223D">
        <w:rPr>
          <w:rFonts w:ascii="Sylfaen" w:hAnsi="Sylfaen"/>
          <w:lang w:val="ka-GE"/>
        </w:rPr>
        <w:t>ი</w:t>
      </w:r>
      <w:r w:rsidR="00FD26CD" w:rsidRPr="00FE223D">
        <w:rPr>
          <w:rFonts w:ascii="Sylfaen" w:hAnsi="Sylfaen"/>
          <w:lang w:val="ka-GE"/>
        </w:rPr>
        <w:t xml:space="preserve"> კომენტარის მიხედვით, მხარეები შეთანხმდნენ, თუ რა ტიპის გონივრული მისადაგება იყო საჭირო</w:t>
      </w:r>
      <w:r w:rsidRPr="00FE223D">
        <w:rPr>
          <w:rFonts w:ascii="Sylfaen" w:hAnsi="Sylfaen"/>
          <w:lang w:val="ka-GE"/>
        </w:rPr>
        <w:t>. თუმცა მხარეები ვერ შეთანხმდნენ მათ ხარჯებსა და იმაზე, წარმოადგენდა თუ არა ეს ღონისძიებები არაპროპორციულ ან არასათანადო ტვირთს</w:t>
      </w:r>
      <w:r w:rsidR="007847D2" w:rsidRPr="00FE223D">
        <w:rPr>
          <w:rFonts w:ascii="Sylfaen" w:hAnsi="Sylfaen"/>
          <w:lang w:val="ka-GE"/>
        </w:rPr>
        <w:t xml:space="preserve"> დამსაქმებლისთვის</w:t>
      </w:r>
      <w:r w:rsidRPr="00FE223D">
        <w:rPr>
          <w:rFonts w:ascii="Sylfaen" w:hAnsi="Sylfaen"/>
          <w:lang w:val="ka-GE"/>
        </w:rPr>
        <w:t>. დამსაქმებლები ვალდებულნი არიან გონივრული მისადაგების საშუალებები</w:t>
      </w:r>
      <w:r w:rsidR="008856A2" w:rsidRPr="00FE223D">
        <w:rPr>
          <w:rFonts w:ascii="Sylfaen" w:hAnsi="Sylfaen"/>
          <w:lang w:val="ka-GE"/>
        </w:rPr>
        <w:t xml:space="preserve">, მაგალითად, სამუშაოს ორგანიზების, სამუშაო </w:t>
      </w:r>
      <w:r w:rsidR="008856A2" w:rsidRPr="00FE223D">
        <w:rPr>
          <w:rFonts w:ascii="Sylfaen" w:hAnsi="Sylfaen"/>
          <w:lang w:val="ka-GE"/>
        </w:rPr>
        <w:lastRenderedPageBreak/>
        <w:t xml:space="preserve">საათების ან </w:t>
      </w:r>
      <w:r w:rsidR="00676BB5" w:rsidRPr="00FE223D">
        <w:rPr>
          <w:rFonts w:ascii="Sylfaen" w:hAnsi="Sylfaen"/>
          <w:lang w:val="ka-GE"/>
        </w:rPr>
        <w:t>ვალდებულებების მოდიფიცირება</w:t>
      </w:r>
      <w:r w:rsidRPr="00FE223D">
        <w:rPr>
          <w:rFonts w:ascii="Sylfaen" w:hAnsi="Sylfaen"/>
          <w:lang w:val="ka-GE"/>
        </w:rPr>
        <w:t xml:space="preserve"> გამოიკვლიონ</w:t>
      </w:r>
      <w:r w:rsidR="008856A2" w:rsidRPr="00FE223D">
        <w:rPr>
          <w:rFonts w:ascii="Sylfaen" w:hAnsi="Sylfaen"/>
          <w:lang w:val="ka-GE"/>
        </w:rPr>
        <w:t>. თუმცა შრომის სასამართლოს მხოლოდ დავის მხარეების მიერ წამოჭრილი საკითხები</w:t>
      </w:r>
      <w:r w:rsidR="00676BB5" w:rsidRPr="00FE223D">
        <w:rPr>
          <w:rFonts w:ascii="Sylfaen" w:hAnsi="Sylfaen"/>
          <w:lang w:val="ka-GE"/>
        </w:rPr>
        <w:t>ს განხილვა შეუძლია</w:t>
      </w:r>
      <w:r w:rsidR="008856A2" w:rsidRPr="00FE223D">
        <w:rPr>
          <w:rStyle w:val="FootnoteReference"/>
          <w:rFonts w:ascii="Sylfaen" w:hAnsi="Sylfaen"/>
        </w:rPr>
        <w:footnoteReference w:id="15"/>
      </w:r>
      <w:r w:rsidR="008856A2" w:rsidRPr="00FE223D">
        <w:rPr>
          <w:rFonts w:ascii="Sylfaen" w:hAnsi="Sylfaen"/>
          <w:lang w:val="ka-GE"/>
        </w:rPr>
        <w:t>. მოცემულ საქმეში ავტორს შრომის სასამართლოს წინაშე არ წამოუჭრია გონ</w:t>
      </w:r>
      <w:r w:rsidR="00900365" w:rsidRPr="00FE223D">
        <w:rPr>
          <w:rFonts w:ascii="Sylfaen" w:hAnsi="Sylfaen"/>
          <w:lang w:val="ka-GE"/>
        </w:rPr>
        <w:t>ივრული</w:t>
      </w:r>
      <w:r w:rsidR="008856A2" w:rsidRPr="00FE223D">
        <w:rPr>
          <w:rFonts w:ascii="Sylfaen" w:hAnsi="Sylfaen"/>
          <w:lang w:val="ka-GE"/>
        </w:rPr>
        <w:t xml:space="preserve"> მისადაგების </w:t>
      </w:r>
      <w:r w:rsidR="00676BB5" w:rsidRPr="00FE223D">
        <w:rPr>
          <w:rFonts w:ascii="Sylfaen" w:hAnsi="Sylfaen"/>
          <w:lang w:val="ka-GE"/>
        </w:rPr>
        <w:t xml:space="preserve">ღონისძიებების არასაკმარისად შესწავლასთან </w:t>
      </w:r>
      <w:r w:rsidR="008856A2" w:rsidRPr="00FE223D">
        <w:rPr>
          <w:rFonts w:ascii="Sylfaen" w:hAnsi="Sylfaen"/>
          <w:lang w:val="ka-GE"/>
        </w:rPr>
        <w:t>დაკავშირებული საკითხები.</w:t>
      </w:r>
      <w:r w:rsidR="0073177F" w:rsidRPr="00FE223D">
        <w:rPr>
          <w:rFonts w:ascii="Sylfaen" w:hAnsi="Sylfaen"/>
          <w:lang w:val="ka-GE"/>
        </w:rPr>
        <w:t xml:space="preserve"> ამიტომ, სასამართლოს არ შეუფასებია </w:t>
      </w:r>
      <w:r w:rsidR="00676BB5" w:rsidRPr="00FE223D">
        <w:rPr>
          <w:rFonts w:ascii="Sylfaen" w:hAnsi="Sylfaen"/>
          <w:lang w:val="ka-GE"/>
        </w:rPr>
        <w:t xml:space="preserve">ის, </w:t>
      </w:r>
      <w:r w:rsidR="0073177F" w:rsidRPr="00FE223D">
        <w:rPr>
          <w:rFonts w:ascii="Sylfaen" w:hAnsi="Sylfaen"/>
          <w:lang w:val="ka-GE"/>
        </w:rPr>
        <w:t xml:space="preserve">უნდა </w:t>
      </w:r>
      <w:r w:rsidR="00676BB5" w:rsidRPr="00FE223D">
        <w:rPr>
          <w:rFonts w:ascii="Sylfaen" w:hAnsi="Sylfaen"/>
          <w:lang w:val="ka-GE"/>
        </w:rPr>
        <w:t xml:space="preserve">შეესწავლა </w:t>
      </w:r>
      <w:r w:rsidR="0073177F" w:rsidRPr="00FE223D">
        <w:rPr>
          <w:rFonts w:ascii="Sylfaen" w:hAnsi="Sylfaen"/>
          <w:lang w:val="ka-GE"/>
        </w:rPr>
        <w:t xml:space="preserve">თუ არა </w:t>
      </w:r>
      <w:r w:rsidR="00676BB5" w:rsidRPr="00FE223D">
        <w:rPr>
          <w:rFonts w:ascii="Sylfaen" w:hAnsi="Sylfaen"/>
          <w:lang w:val="ka-GE"/>
        </w:rPr>
        <w:t>ასეთი ღონისძიებები</w:t>
      </w:r>
      <w:r w:rsidR="0073177F" w:rsidRPr="00FE223D">
        <w:rPr>
          <w:rFonts w:ascii="Sylfaen" w:hAnsi="Sylfaen"/>
          <w:lang w:val="ka-GE"/>
        </w:rPr>
        <w:t xml:space="preserve"> უნივერსიტეტს. არ არსებობს საფუძველი ვივარაუდოთ, რომ სასამართლოს წინაშე ამ პირობების განხილვა წარუმატებელი ან უსაფუძვლოდ ხანგრძლივი იქნებოდა. შრომის სასამართლოში გონივრული მისადაგების </w:t>
      </w:r>
      <w:r w:rsidR="00676BB5" w:rsidRPr="00FE223D">
        <w:rPr>
          <w:rFonts w:ascii="Sylfaen" w:hAnsi="Sylfaen"/>
          <w:lang w:val="ka-GE"/>
        </w:rPr>
        <w:t>ღონისძიებების არასაკმარისად შესწავლის</w:t>
      </w:r>
      <w:r w:rsidR="0073177F" w:rsidRPr="00FE223D">
        <w:rPr>
          <w:rFonts w:ascii="Sylfaen" w:hAnsi="Sylfaen"/>
          <w:lang w:val="ka-GE"/>
        </w:rPr>
        <w:t xml:space="preserve"> საკითხის განხილვა, შესაძლოა, დასრულებულიყო დასკვნით, რომ ავტორი დისკრიმინაციის მსხვერპლი გახდა. შესაბამისად, ავტორის მტკიცება</w:t>
      </w:r>
      <w:r w:rsidR="00912090" w:rsidRPr="00FE223D">
        <w:rPr>
          <w:rFonts w:ascii="Sylfaen" w:hAnsi="Sylfaen"/>
          <w:lang w:val="ka-GE"/>
        </w:rPr>
        <w:t xml:space="preserve"> გონივრული მისადაგების </w:t>
      </w:r>
      <w:r w:rsidR="00676BB5" w:rsidRPr="00FE223D">
        <w:rPr>
          <w:rFonts w:ascii="Sylfaen" w:hAnsi="Sylfaen"/>
          <w:lang w:val="ka-GE"/>
        </w:rPr>
        <w:t xml:space="preserve">ღონისძიებების არასაკმარისად </w:t>
      </w:r>
      <w:r w:rsidR="00912090" w:rsidRPr="00FE223D">
        <w:rPr>
          <w:rFonts w:ascii="Sylfaen" w:hAnsi="Sylfaen"/>
          <w:lang w:val="ka-GE"/>
        </w:rPr>
        <w:t>შესწავლ</w:t>
      </w:r>
      <w:r w:rsidR="00676BB5" w:rsidRPr="00FE223D">
        <w:rPr>
          <w:rFonts w:ascii="Sylfaen" w:hAnsi="Sylfaen"/>
          <w:lang w:val="ka-GE"/>
        </w:rPr>
        <w:t>ასთან</w:t>
      </w:r>
      <w:r w:rsidR="00912090" w:rsidRPr="00FE223D">
        <w:rPr>
          <w:rFonts w:ascii="Sylfaen" w:hAnsi="Sylfaen"/>
          <w:lang w:val="ka-GE"/>
        </w:rPr>
        <w:t xml:space="preserve"> დაკავშირებით, დაუშვებლად უნდა ჩაითვალოს. </w:t>
      </w:r>
    </w:p>
    <w:p w14:paraId="17C14FC1" w14:textId="2CA5BC30" w:rsidR="00762FFB" w:rsidRPr="00FE223D" w:rsidRDefault="00F0037F" w:rsidP="00762FFB">
      <w:pPr>
        <w:pStyle w:val="SingleTxtG"/>
        <w:rPr>
          <w:rFonts w:ascii="Sylfaen" w:hAnsi="Sylfaen"/>
          <w:lang w:val="ka-GE"/>
        </w:rPr>
      </w:pPr>
      <w:r w:rsidRPr="00FE223D">
        <w:rPr>
          <w:rFonts w:ascii="Sylfaen" w:hAnsi="Sylfaen"/>
        </w:rPr>
        <w:t>4.19</w:t>
      </w:r>
      <w:r w:rsidRPr="00FE223D">
        <w:rPr>
          <w:rFonts w:ascii="Sylfaen" w:hAnsi="Sylfaen"/>
        </w:rPr>
        <w:tab/>
      </w:r>
      <w:r w:rsidR="00CE5826" w:rsidRPr="00FE223D">
        <w:rPr>
          <w:rFonts w:ascii="Sylfaen" w:hAnsi="Sylfaen"/>
          <w:lang w:val="ka-GE"/>
        </w:rPr>
        <w:t>რაც შეეხება არსებით მხარეებს, სახელმწიფო მხარე მიიჩნევს, რომ ავტორის საჩივრის ცენტრალური საკითხი ისაა, რომ შვედეთი გონივრულ მისადაგებასთან დაკავშირებულ მკაფიო ვალდებულებებს არ ადგენს და არ</w:t>
      </w:r>
      <w:r w:rsidR="00185FAB" w:rsidRPr="00FE223D">
        <w:rPr>
          <w:rFonts w:ascii="Sylfaen" w:hAnsi="Sylfaen"/>
          <w:lang w:val="ka-GE"/>
        </w:rPr>
        <w:t>ც</w:t>
      </w:r>
      <w:r w:rsidR="00CE5826" w:rsidRPr="00FE223D">
        <w:rPr>
          <w:rFonts w:ascii="Sylfaen" w:hAnsi="Sylfaen"/>
          <w:lang w:val="ka-GE"/>
        </w:rPr>
        <w:t xml:space="preserve"> აფინანსებს, რაც სავარაუდო დარღვევების ხელშემწყობი ფაქტორია. ამასთან დაკავშირებით, სახელმწიფო მხარე კომიტეტის განცხადებაზე</w:t>
      </w:r>
      <w:r w:rsidR="00185FAB" w:rsidRPr="00FE223D">
        <w:rPr>
          <w:rFonts w:ascii="Sylfaen" w:hAnsi="Sylfaen"/>
          <w:lang w:val="ka-GE"/>
        </w:rPr>
        <w:t xml:space="preserve"> </w:t>
      </w:r>
      <w:r w:rsidR="00185FAB" w:rsidRPr="00FE223D">
        <w:rPr>
          <w:rFonts w:ascii="Sylfaen" w:hAnsi="Sylfaen"/>
          <w:lang w:val="ka-GE"/>
        </w:rPr>
        <w:t>მიუთითებს</w:t>
      </w:r>
      <w:r w:rsidR="00CE5826" w:rsidRPr="00FE223D">
        <w:rPr>
          <w:rFonts w:ascii="Sylfaen" w:hAnsi="Sylfaen"/>
          <w:lang w:val="ka-GE"/>
        </w:rPr>
        <w:t>,</w:t>
      </w:r>
      <w:r w:rsidR="00185FAB" w:rsidRPr="00FE223D">
        <w:rPr>
          <w:rFonts w:ascii="Sylfaen" w:hAnsi="Sylfaen"/>
          <w:lang w:val="ka-GE"/>
        </w:rPr>
        <w:t xml:space="preserve"> სადაც აღნიშნულია,</w:t>
      </w:r>
      <w:r w:rsidR="00CE5826" w:rsidRPr="00FE223D">
        <w:rPr>
          <w:rFonts w:ascii="Sylfaen" w:hAnsi="Sylfaen"/>
          <w:lang w:val="ka-GE"/>
        </w:rPr>
        <w:t xml:space="preserve"> რომ ტერმინები არაპროპორციული ან არასათანადო ტვირთი „</w:t>
      </w:r>
      <w:r w:rsidR="00597136" w:rsidRPr="00FE223D">
        <w:rPr>
          <w:rFonts w:ascii="Sylfaen" w:hAnsi="Sylfaen"/>
          <w:lang w:val="ka-GE"/>
        </w:rPr>
        <w:t xml:space="preserve">მიემართება [...] იდეას, რომ გონივრული მისადაგების მოთხოვნა </w:t>
      </w:r>
      <w:r w:rsidR="0083015A" w:rsidRPr="00FE223D">
        <w:rPr>
          <w:rFonts w:ascii="Sylfaen" w:hAnsi="Sylfaen"/>
          <w:lang w:val="ka-GE"/>
        </w:rPr>
        <w:t xml:space="preserve">მიმსადაგებელი მხარისთვის </w:t>
      </w:r>
      <w:r w:rsidR="007F5C70" w:rsidRPr="00FE223D">
        <w:rPr>
          <w:rFonts w:ascii="Sylfaen" w:hAnsi="Sylfaen"/>
          <w:lang w:val="ka-GE"/>
        </w:rPr>
        <w:t>შესაძლო გადაჭარბებულ ან გაუმართლებელ ტვირთ</w:t>
      </w:r>
      <w:r w:rsidR="0083015A" w:rsidRPr="00FE223D">
        <w:rPr>
          <w:rFonts w:ascii="Sylfaen" w:hAnsi="Sylfaen"/>
          <w:lang w:val="ka-GE"/>
        </w:rPr>
        <w:t>თან ერთად</w:t>
      </w:r>
      <w:r w:rsidR="00185FAB" w:rsidRPr="00FE223D">
        <w:rPr>
          <w:rFonts w:ascii="Sylfaen" w:hAnsi="Sylfaen"/>
          <w:lang w:val="ka-GE"/>
        </w:rPr>
        <w:t xml:space="preserve"> უნდა იყოს</w:t>
      </w:r>
      <w:r w:rsidR="00185FAB" w:rsidRPr="00FE223D">
        <w:rPr>
          <w:rFonts w:ascii="Sylfaen" w:hAnsi="Sylfaen"/>
          <w:lang w:val="ka-GE"/>
        </w:rPr>
        <w:t xml:space="preserve"> </w:t>
      </w:r>
      <w:r w:rsidR="00185FAB" w:rsidRPr="00FE223D">
        <w:rPr>
          <w:rFonts w:ascii="Sylfaen" w:hAnsi="Sylfaen"/>
          <w:lang w:val="ka-GE"/>
        </w:rPr>
        <w:t>განხილული</w:t>
      </w:r>
      <w:r w:rsidR="007F5C70" w:rsidRPr="00FE223D">
        <w:rPr>
          <w:rFonts w:ascii="Sylfaen" w:hAnsi="Sylfaen"/>
          <w:lang w:val="ka-GE"/>
        </w:rPr>
        <w:t>“</w:t>
      </w:r>
      <w:r w:rsidR="0083015A" w:rsidRPr="00FE223D">
        <w:rPr>
          <w:rStyle w:val="FootnoteReference"/>
          <w:rFonts w:ascii="Sylfaen" w:hAnsi="Sylfaen"/>
        </w:rPr>
        <w:footnoteReference w:id="16"/>
      </w:r>
      <w:r w:rsidR="0083015A" w:rsidRPr="00FE223D">
        <w:rPr>
          <w:rFonts w:ascii="Sylfaen" w:hAnsi="Sylfaen"/>
          <w:lang w:val="ka-GE"/>
        </w:rPr>
        <w:t xml:space="preserve"> და რომ „[პ]ოტენციური ფაქტორები </w:t>
      </w:r>
      <w:r w:rsidR="00185FAB" w:rsidRPr="00FE223D">
        <w:rPr>
          <w:rFonts w:ascii="Sylfaen" w:hAnsi="Sylfaen"/>
          <w:lang w:val="ka-GE"/>
        </w:rPr>
        <w:t>გ</w:t>
      </w:r>
      <w:r w:rsidR="0083015A" w:rsidRPr="00FE223D">
        <w:rPr>
          <w:rFonts w:ascii="Sylfaen" w:hAnsi="Sylfaen"/>
          <w:lang w:val="ka-GE"/>
        </w:rPr>
        <w:t>ულისხმობს ფინანსურ ხარჯებს, ხელმისაწვდომ რესურსებს (სახელმწიფო სუბსიდიების ჩათვლით), მიმსადაგებელი მხარის ზომას (მთლიანობაში)</w:t>
      </w:r>
      <w:r w:rsidR="00185FAB" w:rsidRPr="00FE223D">
        <w:rPr>
          <w:rFonts w:ascii="Sylfaen" w:hAnsi="Sylfaen"/>
          <w:lang w:val="ka-GE"/>
        </w:rPr>
        <w:t xml:space="preserve"> და </w:t>
      </w:r>
      <w:r w:rsidR="0083015A" w:rsidRPr="00FE223D">
        <w:rPr>
          <w:rFonts w:ascii="Sylfaen" w:hAnsi="Sylfaen"/>
          <w:lang w:val="ka-GE"/>
        </w:rPr>
        <w:t xml:space="preserve">მოდიფიკაციის გავლენას დაწესებულებაზე ან საწარმოზე, მესამე მხარის ბენეფიტებზე, სხვა ადამიანებზე ნეგატიურ გავლენაზე და ჯანმრთელობისა და უსაფრთხოების </w:t>
      </w:r>
      <w:r w:rsidR="00F373FD" w:rsidRPr="00FE223D">
        <w:rPr>
          <w:rFonts w:ascii="Sylfaen" w:hAnsi="Sylfaen"/>
          <w:lang w:val="ka-GE"/>
        </w:rPr>
        <w:t>გონივრულ მოთხოვნებზე“</w:t>
      </w:r>
      <w:r w:rsidR="00F373FD" w:rsidRPr="00FE223D">
        <w:rPr>
          <w:rStyle w:val="FootnoteReference"/>
          <w:rFonts w:ascii="Sylfaen" w:hAnsi="Sylfaen"/>
        </w:rPr>
        <w:footnoteReference w:id="17"/>
      </w:r>
      <w:r w:rsidR="00F373FD" w:rsidRPr="00FE223D">
        <w:rPr>
          <w:rFonts w:ascii="Sylfaen" w:hAnsi="Sylfaen"/>
          <w:lang w:val="ka-GE"/>
        </w:rPr>
        <w:t>. კონვენციის 27-ე მუხლის შინაარსის გათვალისწინებით, სახელმწიფო მხარე ამტკიცებს, რომ წინამდებარე შეტყობინებაში მთავარი საკითხია</w:t>
      </w:r>
      <w:r w:rsidR="00185FAB" w:rsidRPr="00FE223D">
        <w:rPr>
          <w:rFonts w:ascii="Sylfaen" w:hAnsi="Sylfaen"/>
          <w:lang w:val="ka-GE"/>
        </w:rPr>
        <w:t xml:space="preserve"> ის,</w:t>
      </w:r>
      <w:r w:rsidR="00F373FD" w:rsidRPr="00FE223D">
        <w:rPr>
          <w:rFonts w:ascii="Sylfaen" w:hAnsi="Sylfaen"/>
          <w:lang w:val="ka-GE"/>
        </w:rPr>
        <w:t xml:space="preserve"> არის თუ არა შრომის სასამართლოს მიერ ჟესტური ენის თარჯიმნის ღონისძიებების პროპორციულობის შეფასება მომჩივნის კონვენციის მე-5 და 27-ე მუხლებით გაწერილი უფლებების დარღვევა. </w:t>
      </w:r>
    </w:p>
    <w:p w14:paraId="3AD57E59" w14:textId="0B756612" w:rsidR="00042220" w:rsidRPr="00FE223D" w:rsidRDefault="00F0037F" w:rsidP="00762FFB">
      <w:pPr>
        <w:pStyle w:val="SingleTxtG"/>
        <w:rPr>
          <w:rFonts w:ascii="Sylfaen" w:hAnsi="Sylfaen"/>
          <w:lang w:val="ka-GE"/>
        </w:rPr>
      </w:pPr>
      <w:r w:rsidRPr="00FE223D">
        <w:rPr>
          <w:rFonts w:ascii="Sylfaen" w:hAnsi="Sylfaen"/>
        </w:rPr>
        <w:t>4.20</w:t>
      </w:r>
      <w:r w:rsidRPr="00FE223D">
        <w:rPr>
          <w:rFonts w:ascii="Sylfaen" w:hAnsi="Sylfaen"/>
        </w:rPr>
        <w:tab/>
      </w:r>
      <w:r w:rsidR="00042220" w:rsidRPr="00FE223D">
        <w:rPr>
          <w:rFonts w:ascii="Sylfaen" w:hAnsi="Sylfaen"/>
          <w:lang w:val="ka-GE"/>
        </w:rPr>
        <w:t>ამასთან დაკავშირებით, სახელმწიფო მხარე კომიტეტის იურისპუდენციაზე</w:t>
      </w:r>
      <w:r w:rsidR="00185FAB" w:rsidRPr="00FE223D">
        <w:rPr>
          <w:rFonts w:ascii="Sylfaen" w:hAnsi="Sylfaen"/>
          <w:lang w:val="ka-GE"/>
        </w:rPr>
        <w:t xml:space="preserve"> </w:t>
      </w:r>
      <w:r w:rsidR="00185FAB" w:rsidRPr="00FE223D">
        <w:rPr>
          <w:rFonts w:ascii="Sylfaen" w:hAnsi="Sylfaen"/>
          <w:lang w:val="ka-GE"/>
        </w:rPr>
        <w:t>მიუთითებს</w:t>
      </w:r>
      <w:r w:rsidR="00042220" w:rsidRPr="00FE223D">
        <w:rPr>
          <w:rStyle w:val="FootnoteReference"/>
          <w:rFonts w:ascii="Sylfaen" w:hAnsi="Sylfaen"/>
        </w:rPr>
        <w:footnoteReference w:id="18"/>
      </w:r>
      <w:r w:rsidR="00042220" w:rsidRPr="00FE223D">
        <w:rPr>
          <w:rFonts w:ascii="Sylfaen" w:hAnsi="Sylfaen"/>
          <w:lang w:val="ka-GE"/>
        </w:rPr>
        <w:t>. ის ამტკიცებს რომ შრომის სასამართლოს წინაშე სამართალწარმოება არა მხოლოდ ორი მხარის (ს</w:t>
      </w:r>
      <w:r w:rsidR="001152CA" w:rsidRPr="00FE223D">
        <w:rPr>
          <w:rFonts w:ascii="Sylfaen" w:hAnsi="Sylfaen"/>
          <w:lang w:val="ka-GE"/>
        </w:rPr>
        <w:t>ო</w:t>
      </w:r>
      <w:r w:rsidR="00042220" w:rsidRPr="00FE223D">
        <w:rPr>
          <w:rFonts w:ascii="Sylfaen" w:hAnsi="Sylfaen"/>
          <w:lang w:val="ka-GE"/>
        </w:rPr>
        <w:t>დერტ</w:t>
      </w:r>
      <w:r w:rsidR="001152CA" w:rsidRPr="00FE223D">
        <w:rPr>
          <w:rFonts w:ascii="Sylfaen" w:hAnsi="Sylfaen"/>
          <w:lang w:val="ka-GE"/>
        </w:rPr>
        <w:t>ო</w:t>
      </w:r>
      <w:r w:rsidR="00042220" w:rsidRPr="00FE223D">
        <w:rPr>
          <w:rFonts w:ascii="Sylfaen" w:hAnsi="Sylfaen"/>
          <w:lang w:val="ka-GE"/>
        </w:rPr>
        <w:t xml:space="preserve">რნის უნივერსიტეტისა და თანასწორობის </w:t>
      </w:r>
      <w:r w:rsidR="00440EF1" w:rsidRPr="00FE223D">
        <w:rPr>
          <w:rFonts w:ascii="Sylfaen" w:hAnsi="Sylfaen"/>
          <w:lang w:val="ka-GE"/>
        </w:rPr>
        <w:t>ომბუდსმე</w:t>
      </w:r>
      <w:r w:rsidR="00042220" w:rsidRPr="00FE223D">
        <w:rPr>
          <w:rFonts w:ascii="Sylfaen" w:hAnsi="Sylfaen"/>
          <w:lang w:val="ka-GE"/>
        </w:rPr>
        <w:t xml:space="preserve">ნის) წერილობით განცხადებებს, არამედ სასამართლოში ზეპირ მოსამზადებელ და მთავარ მოსმენასაც მოიცავდა. </w:t>
      </w:r>
      <w:r w:rsidR="004B64D2" w:rsidRPr="00FE223D">
        <w:rPr>
          <w:rFonts w:ascii="Sylfaen" w:hAnsi="Sylfaen"/>
          <w:lang w:val="ka-GE"/>
        </w:rPr>
        <w:t xml:space="preserve">ორივე მხარემ საკუთარი მოსაზრებები და მათ ხელთ არსებული მტკიცებულებები წარმოადგინა. სასამართლომ ყველა მათგანი გაითვალისწინა. მეტიც, ავტორის მოთხოვნით, თანასწორობის </w:t>
      </w:r>
      <w:r w:rsidR="00440EF1" w:rsidRPr="00FE223D">
        <w:rPr>
          <w:rFonts w:ascii="Sylfaen" w:hAnsi="Sylfaen"/>
          <w:lang w:val="ka-GE"/>
        </w:rPr>
        <w:t>ომბუდსმე</w:t>
      </w:r>
      <w:r w:rsidR="004B64D2" w:rsidRPr="00FE223D">
        <w:rPr>
          <w:rFonts w:ascii="Sylfaen" w:hAnsi="Sylfaen"/>
          <w:lang w:val="ka-GE"/>
        </w:rPr>
        <w:t xml:space="preserve">ნი მოქმედებდა, როგორც </w:t>
      </w:r>
      <w:r w:rsidR="00185FAB" w:rsidRPr="00FE223D">
        <w:rPr>
          <w:rFonts w:ascii="Sylfaen" w:hAnsi="Sylfaen"/>
          <w:lang w:val="ka-GE"/>
        </w:rPr>
        <w:t>სამართალწარმოებაში</w:t>
      </w:r>
      <w:r w:rsidR="00185FAB" w:rsidRPr="00FE223D">
        <w:rPr>
          <w:rFonts w:ascii="Sylfaen" w:hAnsi="Sylfaen"/>
          <w:lang w:val="ka-GE"/>
        </w:rPr>
        <w:t xml:space="preserve"> </w:t>
      </w:r>
      <w:r w:rsidR="004B64D2" w:rsidRPr="00FE223D">
        <w:rPr>
          <w:rFonts w:ascii="Sylfaen" w:hAnsi="Sylfaen"/>
          <w:lang w:val="ka-GE"/>
        </w:rPr>
        <w:t>მოსარჩელე მხარე. მისი საქმე დისკრიმინაციის საკითხში სპეციალიზირებული საჯარო ორგანოს მიერ</w:t>
      </w:r>
      <w:r w:rsidR="00393D63" w:rsidRPr="00FE223D">
        <w:rPr>
          <w:rFonts w:ascii="Sylfaen" w:hAnsi="Sylfaen"/>
          <w:lang w:val="ka-GE"/>
        </w:rPr>
        <w:t xml:space="preserve"> </w:t>
      </w:r>
      <w:r w:rsidR="00393D63" w:rsidRPr="00FE223D">
        <w:rPr>
          <w:rFonts w:ascii="Sylfaen" w:hAnsi="Sylfaen"/>
          <w:lang w:val="ka-GE"/>
        </w:rPr>
        <w:t>განიხილებოდა</w:t>
      </w:r>
      <w:r w:rsidR="004B64D2" w:rsidRPr="00FE223D">
        <w:rPr>
          <w:rFonts w:ascii="Sylfaen" w:hAnsi="Sylfaen"/>
          <w:lang w:val="ka-GE"/>
        </w:rPr>
        <w:t>, რომელიც ავტორის შეხედულებებისა და ინტერესების სათანადოდ გაჟღერებასა და დაცვას უზრუნველყოფდა. შრომის სასამართლო</w:t>
      </w:r>
      <w:r w:rsidR="00762FFB" w:rsidRPr="00FE223D">
        <w:rPr>
          <w:rFonts w:ascii="Sylfaen" w:hAnsi="Sylfaen"/>
          <w:lang w:val="ka-GE"/>
        </w:rPr>
        <w:t xml:space="preserve">საც </w:t>
      </w:r>
      <w:r w:rsidR="004B64D2" w:rsidRPr="00FE223D">
        <w:rPr>
          <w:rFonts w:ascii="Sylfaen" w:hAnsi="Sylfaen"/>
          <w:lang w:val="ka-GE"/>
        </w:rPr>
        <w:t>დისკრიმინაციის შესახებ საჩივრების შეფასებ</w:t>
      </w:r>
      <w:r w:rsidR="00762FFB" w:rsidRPr="00FE223D">
        <w:rPr>
          <w:rFonts w:ascii="Sylfaen" w:hAnsi="Sylfaen"/>
          <w:lang w:val="ka-GE"/>
        </w:rPr>
        <w:t xml:space="preserve">ის საკითხში აქვს ექსპერტიზა. შრომის სასამართლოს ხუთმა </w:t>
      </w:r>
      <w:r w:rsidR="00762FFB" w:rsidRPr="00FE223D">
        <w:rPr>
          <w:rFonts w:ascii="Sylfaen" w:hAnsi="Sylfaen"/>
          <w:lang w:val="ka-GE"/>
        </w:rPr>
        <w:lastRenderedPageBreak/>
        <w:t xml:space="preserve">წევრმა ერთსულოვანი დასკვნა გამოიტანა, რომ თანასწორობის </w:t>
      </w:r>
      <w:r w:rsidR="00440EF1" w:rsidRPr="00FE223D">
        <w:rPr>
          <w:rFonts w:ascii="Sylfaen" w:hAnsi="Sylfaen"/>
          <w:lang w:val="ka-GE"/>
        </w:rPr>
        <w:t>ომბუდსმე</w:t>
      </w:r>
      <w:r w:rsidR="00762FFB" w:rsidRPr="00FE223D">
        <w:rPr>
          <w:rFonts w:ascii="Sylfaen" w:hAnsi="Sylfaen"/>
          <w:lang w:val="ka-GE"/>
        </w:rPr>
        <w:t xml:space="preserve">ნის სარჩელი არ უნდა დაკმაყოფილებულიყო. </w:t>
      </w:r>
    </w:p>
    <w:p w14:paraId="53FF6EBE" w14:textId="40317370" w:rsidR="00762FFB" w:rsidRPr="00FE223D" w:rsidRDefault="00F0037F" w:rsidP="0031153E">
      <w:pPr>
        <w:pStyle w:val="SingleTxtG"/>
        <w:rPr>
          <w:rFonts w:ascii="Sylfaen" w:hAnsi="Sylfaen"/>
          <w:lang w:val="ka-GE"/>
        </w:rPr>
      </w:pPr>
      <w:r w:rsidRPr="00FE223D">
        <w:rPr>
          <w:rFonts w:ascii="Sylfaen" w:hAnsi="Sylfaen"/>
        </w:rPr>
        <w:t>4.21</w:t>
      </w:r>
      <w:r w:rsidRPr="00FE223D">
        <w:rPr>
          <w:rFonts w:ascii="Sylfaen" w:hAnsi="Sylfaen"/>
        </w:rPr>
        <w:tab/>
      </w:r>
      <w:r w:rsidR="00762FFB" w:rsidRPr="00FE223D">
        <w:rPr>
          <w:rFonts w:ascii="Sylfaen" w:hAnsi="Sylfaen"/>
          <w:lang w:val="ka-GE"/>
        </w:rPr>
        <w:t xml:space="preserve">რაც შეეხება შრომის სასამართლოს შემოწმებასა და შეფასებას, სახელმწიფო მხარე ხაზს უსვამს, რომ </w:t>
      </w:r>
      <w:r w:rsidR="00C274E8" w:rsidRPr="00FE223D">
        <w:rPr>
          <w:rFonts w:ascii="Sylfaen" w:hAnsi="Sylfaen"/>
          <w:lang w:val="ka-GE"/>
        </w:rPr>
        <w:t>სასამართლომ</w:t>
      </w:r>
      <w:r w:rsidR="00762FFB" w:rsidRPr="00FE223D">
        <w:rPr>
          <w:rFonts w:ascii="Sylfaen" w:hAnsi="Sylfaen"/>
          <w:lang w:val="ka-GE"/>
        </w:rPr>
        <w:t xml:space="preserve"> საფუძვლიანად გამოიკვლია რელევანტური ადგილობრივი და ევროკავშირის კანონები და იურისპუდენცია, კონვენცია და კომიტეტის ხედვები. ამის შემდეგ, </w:t>
      </w:r>
      <w:r w:rsidR="00C274E8" w:rsidRPr="00FE223D">
        <w:rPr>
          <w:rFonts w:ascii="Sylfaen" w:hAnsi="Sylfaen"/>
          <w:lang w:val="ka-GE"/>
        </w:rPr>
        <w:t xml:space="preserve">სასამართლო თარჯიმნის ხარჯების საკითხზე </w:t>
      </w:r>
      <w:r w:rsidR="00393D63" w:rsidRPr="00FE223D">
        <w:rPr>
          <w:rFonts w:ascii="Sylfaen" w:hAnsi="Sylfaen"/>
          <w:lang w:val="ka-GE"/>
        </w:rPr>
        <w:t>გადავიდა</w:t>
      </w:r>
      <w:r w:rsidR="00393D63" w:rsidRPr="00FE223D">
        <w:rPr>
          <w:rFonts w:ascii="Sylfaen" w:hAnsi="Sylfaen"/>
          <w:lang w:val="ka-GE"/>
        </w:rPr>
        <w:t xml:space="preserve"> </w:t>
      </w:r>
      <w:r w:rsidR="00C274E8" w:rsidRPr="00FE223D">
        <w:rPr>
          <w:rFonts w:ascii="Sylfaen" w:hAnsi="Sylfaen"/>
          <w:lang w:val="ka-GE"/>
        </w:rPr>
        <w:t>და ყოველწლიურად 520 000 შვედური კრონას (</w:t>
      </w:r>
      <w:r w:rsidR="00C274E8" w:rsidRPr="00FE223D">
        <w:rPr>
          <w:rFonts w:ascii="Sylfaen" w:hAnsi="Sylfaen"/>
          <w:lang w:val="en-US"/>
        </w:rPr>
        <w:t>SEK)</w:t>
      </w:r>
      <w:r w:rsidR="00C274E8" w:rsidRPr="00FE223D">
        <w:rPr>
          <w:rStyle w:val="FootnoteReference"/>
          <w:rFonts w:ascii="Sylfaen" w:hAnsi="Sylfaen"/>
        </w:rPr>
        <w:footnoteReference w:id="19"/>
      </w:r>
      <w:r w:rsidR="00C274E8" w:rsidRPr="00FE223D">
        <w:rPr>
          <w:rFonts w:ascii="Sylfaen" w:hAnsi="Sylfaen"/>
          <w:lang w:val="ka-GE"/>
        </w:rPr>
        <w:t xml:space="preserve"> რაოდენობ</w:t>
      </w:r>
      <w:r w:rsidR="00393D63" w:rsidRPr="00FE223D">
        <w:rPr>
          <w:rFonts w:ascii="Sylfaen" w:hAnsi="Sylfaen"/>
          <w:lang w:val="ka-GE"/>
        </w:rPr>
        <w:t>ის (</w:t>
      </w:r>
      <w:r w:rsidR="00C274E8" w:rsidRPr="00FE223D">
        <w:rPr>
          <w:rFonts w:ascii="Sylfaen" w:hAnsi="Sylfaen"/>
          <w:lang w:val="ka-GE"/>
        </w:rPr>
        <w:t>რასაც თანასწორობის ომბუდსმენი ამტკიცებდა</w:t>
      </w:r>
      <w:r w:rsidR="00393D63" w:rsidRPr="00FE223D">
        <w:rPr>
          <w:rFonts w:ascii="Sylfaen" w:hAnsi="Sylfaen"/>
          <w:lang w:val="ka-GE"/>
        </w:rPr>
        <w:t>)</w:t>
      </w:r>
      <w:r w:rsidR="00C274E8" w:rsidRPr="00FE223D">
        <w:rPr>
          <w:rFonts w:ascii="Sylfaen" w:hAnsi="Sylfaen"/>
          <w:lang w:val="ka-GE"/>
        </w:rPr>
        <w:t xml:space="preserve"> პროპორციულობა შეაფასა. შესაბამისად, სასამართლომ დაასკვნა, რომ წინამდებარე საქმეში მეტი ხელმისაწვდომობის ღონისძიებების მოთხოვნა სამმა ფაქტმა განაპირობა, ე.ი., რომ უნივერსიტეტი იყო </w:t>
      </w:r>
      <w:r w:rsidR="00FA199E" w:rsidRPr="00FE223D">
        <w:rPr>
          <w:rFonts w:ascii="Sylfaen" w:hAnsi="Sylfaen"/>
          <w:lang w:val="ka-GE"/>
        </w:rPr>
        <w:t>(</w:t>
      </w:r>
      <w:r w:rsidR="00C274E8" w:rsidRPr="00FE223D">
        <w:rPr>
          <w:rFonts w:ascii="Sylfaen" w:hAnsi="Sylfaen"/>
          <w:lang w:val="ka-GE"/>
        </w:rPr>
        <w:t xml:space="preserve">ა) სახელმწიფო დაწესებულება </w:t>
      </w:r>
      <w:r w:rsidR="00FA199E" w:rsidRPr="00FE223D">
        <w:rPr>
          <w:rFonts w:ascii="Sylfaen" w:hAnsi="Sylfaen"/>
          <w:lang w:val="ka-GE"/>
        </w:rPr>
        <w:t>(</w:t>
      </w:r>
      <w:r w:rsidR="00C274E8" w:rsidRPr="00FE223D">
        <w:rPr>
          <w:rFonts w:ascii="Sylfaen" w:hAnsi="Sylfaen"/>
          <w:lang w:val="ka-GE"/>
        </w:rPr>
        <w:t>ბ)</w:t>
      </w:r>
      <w:r w:rsidR="00FA199E" w:rsidRPr="00FE223D">
        <w:rPr>
          <w:rFonts w:ascii="Sylfaen" w:hAnsi="Sylfaen"/>
          <w:lang w:val="ka-GE"/>
        </w:rPr>
        <w:t xml:space="preserve"> პერსონალი</w:t>
      </w:r>
      <w:r w:rsidR="00393D63" w:rsidRPr="00FE223D">
        <w:rPr>
          <w:rFonts w:ascii="Sylfaen" w:hAnsi="Sylfaen"/>
          <w:lang w:val="ka-GE"/>
        </w:rPr>
        <w:t>ს</w:t>
      </w:r>
      <w:r w:rsidR="00FA199E" w:rsidRPr="00FE223D">
        <w:rPr>
          <w:rFonts w:ascii="Sylfaen" w:hAnsi="Sylfaen"/>
          <w:lang w:val="ka-GE"/>
        </w:rPr>
        <w:t>თვის განსაზღვრული დიდი ბიუჯეტით</w:t>
      </w:r>
      <w:r w:rsidR="00393D63" w:rsidRPr="00FE223D">
        <w:rPr>
          <w:rFonts w:ascii="Sylfaen" w:hAnsi="Sylfaen"/>
          <w:lang w:val="ka-GE"/>
        </w:rPr>
        <w:t>ა</w:t>
      </w:r>
      <w:r w:rsidR="00FA199E" w:rsidRPr="00FE223D">
        <w:rPr>
          <w:rFonts w:ascii="Sylfaen" w:hAnsi="Sylfaen"/>
          <w:lang w:val="ka-GE"/>
        </w:rPr>
        <w:t xml:space="preserve"> და (გ) ავტორის სრულ განაკვეთზე დასაქმებ</w:t>
      </w:r>
      <w:r w:rsidR="00393D63" w:rsidRPr="00FE223D">
        <w:rPr>
          <w:rFonts w:ascii="Sylfaen" w:hAnsi="Sylfaen"/>
          <w:lang w:val="ka-GE"/>
        </w:rPr>
        <w:t>ი</w:t>
      </w:r>
      <w:r w:rsidR="00FA199E" w:rsidRPr="00FE223D">
        <w:rPr>
          <w:rFonts w:ascii="Sylfaen" w:hAnsi="Sylfaen"/>
          <w:lang w:val="ka-GE"/>
        </w:rPr>
        <w:t xml:space="preserve">ს </w:t>
      </w:r>
      <w:r w:rsidR="00393D63" w:rsidRPr="00FE223D">
        <w:rPr>
          <w:rFonts w:ascii="Sylfaen" w:hAnsi="Sylfaen"/>
          <w:lang w:val="ka-GE"/>
        </w:rPr>
        <w:t>განზრახვით</w:t>
      </w:r>
      <w:r w:rsidR="00FA199E" w:rsidRPr="00FE223D">
        <w:rPr>
          <w:rFonts w:ascii="Sylfaen" w:hAnsi="Sylfaen"/>
          <w:lang w:val="ka-GE"/>
        </w:rPr>
        <w:t xml:space="preserve">. თუმცა </w:t>
      </w:r>
      <w:r w:rsidR="00393D63" w:rsidRPr="00FE223D">
        <w:rPr>
          <w:rFonts w:ascii="Sylfaen" w:hAnsi="Sylfaen"/>
          <w:lang w:val="ka-GE"/>
        </w:rPr>
        <w:t xml:space="preserve">თარჯიმნის სერვისებზე </w:t>
      </w:r>
      <w:r w:rsidR="00FA199E" w:rsidRPr="00FE223D">
        <w:rPr>
          <w:rFonts w:ascii="Sylfaen" w:hAnsi="Sylfaen"/>
          <w:lang w:val="ka-GE"/>
        </w:rPr>
        <w:t xml:space="preserve">უნივერსიტეტის მიერ გაწეული წლიური ხარჯები პრაქტიკაში </w:t>
      </w:r>
      <w:r w:rsidR="00AC70A2" w:rsidRPr="00FE223D">
        <w:rPr>
          <w:rFonts w:ascii="Sylfaen" w:hAnsi="Sylfaen"/>
          <w:lang w:val="ka-GE"/>
        </w:rPr>
        <w:t xml:space="preserve">ავტორის დარიცხულ ხელფასს </w:t>
      </w:r>
      <w:r w:rsidR="00FA199E" w:rsidRPr="00FE223D">
        <w:rPr>
          <w:rFonts w:ascii="Sylfaen" w:hAnsi="Sylfaen"/>
          <w:lang w:val="ka-GE"/>
        </w:rPr>
        <w:t>შეესაბამებოდა</w:t>
      </w:r>
      <w:r w:rsidR="00393D63" w:rsidRPr="00FE223D">
        <w:rPr>
          <w:rFonts w:ascii="Sylfaen" w:hAnsi="Sylfaen"/>
          <w:lang w:val="ka-GE"/>
        </w:rPr>
        <w:t xml:space="preserve"> (</w:t>
      </w:r>
      <w:r w:rsidR="00FA199E" w:rsidRPr="00FE223D">
        <w:rPr>
          <w:rFonts w:ascii="Sylfaen" w:hAnsi="Sylfaen"/>
          <w:lang w:val="ka-GE"/>
        </w:rPr>
        <w:t xml:space="preserve">დამსაქმებლის </w:t>
      </w:r>
      <w:r w:rsidR="00AC70A2" w:rsidRPr="00FE223D">
        <w:rPr>
          <w:rFonts w:ascii="Sylfaen" w:hAnsi="Sylfaen"/>
          <w:lang w:val="ka-GE"/>
        </w:rPr>
        <w:t>გადასახადის გარეშე</w:t>
      </w:r>
      <w:r w:rsidR="00393D63" w:rsidRPr="00FE223D">
        <w:rPr>
          <w:rFonts w:ascii="Sylfaen" w:hAnsi="Sylfaen"/>
          <w:lang w:val="ka-GE"/>
        </w:rPr>
        <w:t>)</w:t>
      </w:r>
      <w:r w:rsidR="00AC70A2" w:rsidRPr="00FE223D">
        <w:rPr>
          <w:rFonts w:ascii="Sylfaen" w:hAnsi="Sylfaen"/>
          <w:lang w:val="ka-GE"/>
        </w:rPr>
        <w:t>. გარდა ამისა, სასამართლომ ხაზგასმით აღნიშნა, რომ ეს არ იყო ერთჯერადი ხარჯის საკითხი და</w:t>
      </w:r>
      <w:r w:rsidR="001E4CB4" w:rsidRPr="00FE223D">
        <w:rPr>
          <w:rFonts w:ascii="Sylfaen" w:hAnsi="Sylfaen"/>
          <w:lang w:val="ka-GE"/>
        </w:rPr>
        <w:t xml:space="preserve"> შეთავაზებული ღონისძიებები</w:t>
      </w:r>
      <w:r w:rsidR="00AC70A2" w:rsidRPr="00FE223D">
        <w:rPr>
          <w:rFonts w:ascii="Sylfaen" w:hAnsi="Sylfaen"/>
          <w:lang w:val="ka-GE"/>
        </w:rPr>
        <w:t xml:space="preserve"> სხვა შეზღუდული შესაძლებლობის მქონე დასაქმებულებ</w:t>
      </w:r>
      <w:r w:rsidR="001E4CB4" w:rsidRPr="00FE223D">
        <w:rPr>
          <w:rFonts w:ascii="Sylfaen" w:hAnsi="Sylfaen"/>
          <w:lang w:val="ka-GE"/>
        </w:rPr>
        <w:t>ს არ წაადგებოდა</w:t>
      </w:r>
      <w:r w:rsidR="001E4CB4" w:rsidRPr="00FE223D">
        <w:rPr>
          <w:rStyle w:val="FootnoteReference"/>
          <w:rFonts w:ascii="Sylfaen" w:hAnsi="Sylfaen"/>
        </w:rPr>
        <w:footnoteReference w:id="20"/>
      </w:r>
      <w:r w:rsidR="001E4CB4" w:rsidRPr="00FE223D">
        <w:rPr>
          <w:rFonts w:ascii="Sylfaen" w:hAnsi="Sylfaen"/>
          <w:lang w:val="ka-GE"/>
        </w:rPr>
        <w:t xml:space="preserve">. საბოლოოდ, სასამართლომ დაადგინა, რომ მან ვერ აღმოაჩინა, რომ კონვენცია, დასაქმების თანასწორობის ჩარჩოს დირექტივა ან დისკრიმინაციის </w:t>
      </w:r>
      <w:r w:rsidR="00D9638F" w:rsidRPr="00FE223D">
        <w:rPr>
          <w:rFonts w:ascii="Sylfaen" w:hAnsi="Sylfaen"/>
          <w:lang w:val="ka-GE"/>
        </w:rPr>
        <w:t xml:space="preserve">შესახებ </w:t>
      </w:r>
      <w:r w:rsidR="001E4CB4" w:rsidRPr="00FE223D">
        <w:rPr>
          <w:rFonts w:ascii="Sylfaen" w:hAnsi="Sylfaen"/>
          <w:lang w:val="ka-GE"/>
        </w:rPr>
        <w:t xml:space="preserve">კანონი და </w:t>
      </w:r>
      <w:r w:rsidR="001E4CB4" w:rsidRPr="00FE223D">
        <w:rPr>
          <w:rFonts w:ascii="Sylfaen" w:hAnsi="Sylfaen"/>
          <w:i/>
          <w:iCs/>
        </w:rPr>
        <w:t>travaux préparatoires</w:t>
      </w:r>
      <w:r w:rsidR="00393D63" w:rsidRPr="00FE223D">
        <w:rPr>
          <w:rFonts w:ascii="Sylfaen" w:hAnsi="Sylfaen"/>
          <w:i/>
          <w:iCs/>
          <w:lang w:val="ka-GE"/>
        </w:rPr>
        <w:t>,</w:t>
      </w:r>
      <w:r w:rsidR="001E4CB4" w:rsidRPr="00FE223D">
        <w:rPr>
          <w:rFonts w:ascii="Sylfaen" w:hAnsi="Sylfaen"/>
          <w:i/>
          <w:iCs/>
          <w:lang w:val="ka-GE"/>
        </w:rPr>
        <w:t xml:space="preserve"> </w:t>
      </w:r>
      <w:r w:rsidR="00393D63" w:rsidRPr="00FE223D">
        <w:rPr>
          <w:rFonts w:ascii="Sylfaen" w:hAnsi="Sylfaen"/>
          <w:lang w:val="ka-GE"/>
        </w:rPr>
        <w:t xml:space="preserve">ამგვარ შემთხვევებში, </w:t>
      </w:r>
      <w:r w:rsidR="001E4CB4" w:rsidRPr="00FE223D">
        <w:rPr>
          <w:rFonts w:ascii="Sylfaen" w:hAnsi="Sylfaen"/>
          <w:lang w:val="ka-GE"/>
        </w:rPr>
        <w:t>მიზანშეწონილად მიიჩნევდნენ, დამსაქმებელის დავალდებულებას</w:t>
      </w:r>
      <w:r w:rsidR="005A0EE0" w:rsidRPr="00FE223D">
        <w:rPr>
          <w:rFonts w:ascii="Sylfaen" w:hAnsi="Sylfaen"/>
          <w:lang w:val="ka-GE"/>
        </w:rPr>
        <w:t>, რომ მა</w:t>
      </w:r>
      <w:r w:rsidR="00066682" w:rsidRPr="00FE223D">
        <w:rPr>
          <w:rFonts w:ascii="Sylfaen" w:hAnsi="Sylfaen"/>
          <w:lang w:val="ka-GE"/>
        </w:rPr>
        <w:t>ს</w:t>
      </w:r>
      <w:r w:rsidR="005A0EE0" w:rsidRPr="00FE223D">
        <w:rPr>
          <w:rFonts w:ascii="Sylfaen" w:hAnsi="Sylfaen"/>
          <w:lang w:val="ka-GE"/>
        </w:rPr>
        <w:t xml:space="preserve"> </w:t>
      </w:r>
      <w:r w:rsidR="001E4CB4" w:rsidRPr="00FE223D">
        <w:rPr>
          <w:rFonts w:ascii="Sylfaen" w:hAnsi="Sylfaen"/>
          <w:lang w:val="ka-GE"/>
        </w:rPr>
        <w:t>გონივრული მისადაგების ღონისძიებები</w:t>
      </w:r>
      <w:r w:rsidR="00066682" w:rsidRPr="00FE223D">
        <w:rPr>
          <w:rFonts w:ascii="Sylfaen" w:hAnsi="Sylfaen"/>
          <w:lang w:val="ka-GE"/>
        </w:rPr>
        <w:t xml:space="preserve"> უნდა</w:t>
      </w:r>
      <w:r w:rsidR="001E4CB4" w:rsidRPr="00FE223D">
        <w:rPr>
          <w:rFonts w:ascii="Sylfaen" w:hAnsi="Sylfaen"/>
          <w:lang w:val="ka-GE"/>
        </w:rPr>
        <w:t xml:space="preserve"> გა</w:t>
      </w:r>
      <w:r w:rsidR="00066682" w:rsidRPr="00FE223D">
        <w:rPr>
          <w:rFonts w:ascii="Sylfaen" w:hAnsi="Sylfaen"/>
          <w:lang w:val="ka-GE"/>
        </w:rPr>
        <w:t>ეტარებინა</w:t>
      </w:r>
      <w:r w:rsidR="001E4CB4" w:rsidRPr="00FE223D">
        <w:rPr>
          <w:rFonts w:ascii="Sylfaen" w:hAnsi="Sylfaen"/>
          <w:lang w:val="ka-GE"/>
        </w:rPr>
        <w:t xml:space="preserve">, </w:t>
      </w:r>
      <w:r w:rsidR="005A0EE0" w:rsidRPr="00FE223D">
        <w:rPr>
          <w:rFonts w:ascii="Sylfaen" w:hAnsi="Sylfaen"/>
          <w:lang w:val="ka-GE"/>
        </w:rPr>
        <w:t xml:space="preserve">როცა ამ ღონისძიებების </w:t>
      </w:r>
      <w:r w:rsidR="001E4CB4" w:rsidRPr="00FE223D">
        <w:rPr>
          <w:rFonts w:ascii="Sylfaen" w:hAnsi="Sylfaen"/>
          <w:lang w:val="ka-GE"/>
        </w:rPr>
        <w:t>ხარჯი ყოველწლიურად 500 000 შვედური კრონა</w:t>
      </w:r>
      <w:r w:rsidR="00066682" w:rsidRPr="00FE223D">
        <w:rPr>
          <w:rFonts w:ascii="Sylfaen" w:hAnsi="Sylfaen"/>
          <w:lang w:val="ka-GE"/>
        </w:rPr>
        <w:t>ს გაუტოლდებოდა</w:t>
      </w:r>
      <w:r w:rsidR="001E4CB4" w:rsidRPr="00FE223D">
        <w:rPr>
          <w:rFonts w:ascii="Sylfaen" w:hAnsi="Sylfaen"/>
          <w:lang w:val="ka-GE"/>
        </w:rPr>
        <w:t xml:space="preserve"> (</w:t>
      </w:r>
      <w:r w:rsidR="001E4CB4" w:rsidRPr="00FE223D">
        <w:rPr>
          <w:rFonts w:ascii="Sylfaen" w:hAnsi="Sylfaen"/>
          <w:lang w:val="en-US"/>
        </w:rPr>
        <w:t xml:space="preserve">SEK). </w:t>
      </w:r>
      <w:r w:rsidR="005A0EE0" w:rsidRPr="00FE223D">
        <w:rPr>
          <w:rFonts w:ascii="Sylfaen" w:hAnsi="Sylfaen"/>
          <w:lang w:val="ka-GE"/>
        </w:rPr>
        <w:t xml:space="preserve">მან დაასკვნა, რომ გონივრული მისადაგების ღონისძიებები, რომლებიც უნივერსიტეტს ავტორის დასასაქმებლად უნდა გაეტარებინა, არ იყო გონივრული და შესაბამისად, უნივერსიტეტს ავტორის დისკრიმინაცია არ მოუხდენია. </w:t>
      </w:r>
    </w:p>
    <w:p w14:paraId="1E1C9BC4" w14:textId="61F71282" w:rsidR="00DC3918" w:rsidRPr="00FE223D" w:rsidRDefault="00F0037F" w:rsidP="00DC3918">
      <w:pPr>
        <w:pStyle w:val="SingleTxtG"/>
        <w:rPr>
          <w:rFonts w:ascii="Sylfaen" w:hAnsi="Sylfaen"/>
          <w:lang w:val="ka-GE"/>
        </w:rPr>
      </w:pPr>
      <w:r w:rsidRPr="00FE223D">
        <w:rPr>
          <w:rFonts w:ascii="Sylfaen" w:hAnsi="Sylfaen"/>
        </w:rPr>
        <w:t>4.22</w:t>
      </w:r>
      <w:r w:rsidRPr="00FE223D">
        <w:rPr>
          <w:rFonts w:ascii="Sylfaen" w:hAnsi="Sylfaen"/>
        </w:rPr>
        <w:tab/>
      </w:r>
      <w:r w:rsidR="007A008F" w:rsidRPr="00FE223D">
        <w:rPr>
          <w:rFonts w:ascii="Sylfaen" w:hAnsi="Sylfaen"/>
          <w:lang w:val="ka-GE"/>
        </w:rPr>
        <w:t xml:space="preserve">შრომის სასამართლომ საქმე შეაფასა იმავე სახის „პროპორციულობის ტესტის“ საფუძველზე, რომელსაც კომიტეტი შეფასებებისას გამოიყენებდა, კონვენციის მე-2, მე-2 და 27-ე მუხლების შესაბამისად. ასეთი შეფასება ეკონომიკური ფაქტორების შესწავლას და სხვადასხვა ინტერესების დაბალანსების ელემენტს მოიცავდა. რაც შეეხება ავტორის არგუმენტს, რომ გადაწყვეტილებას უარყოფითი შედეგები ექნება თითოეული სმენის არმქონე ან სმენადაქვეითებული ადამიანისთვის, რომელსაც შვედეთში დასაქმება სურს, </w:t>
      </w:r>
      <w:r w:rsidR="00343C67" w:rsidRPr="00FE223D">
        <w:rPr>
          <w:rFonts w:ascii="Sylfaen" w:hAnsi="Sylfaen"/>
          <w:lang w:val="ka-GE"/>
        </w:rPr>
        <w:t>სახელმწიფო მხარე მიიჩნევს, რომ გადაწყვეტილების ამგვარი შორს მიმავალი ინტერპრეტაცია გაუმართლებელია, რადგან სასამართლომ გადაწყვეტილება მიიღო საქმის სპეციფიკიდან გამომდინარე. ეს სპეციფიკა კი შემოიფარგლებოდა იმ გარემოებებით, რომ</w:t>
      </w:r>
      <w:r w:rsidR="00066682" w:rsidRPr="00FE223D">
        <w:rPr>
          <w:rFonts w:ascii="Sylfaen" w:hAnsi="Sylfaen"/>
          <w:lang w:val="ka-GE"/>
        </w:rPr>
        <w:t xml:space="preserve">ლებზეც </w:t>
      </w:r>
      <w:r w:rsidR="00440EF1" w:rsidRPr="00FE223D">
        <w:rPr>
          <w:rFonts w:ascii="Sylfaen" w:hAnsi="Sylfaen"/>
          <w:lang w:val="ka-GE"/>
        </w:rPr>
        <w:t>ომბუდსმე</w:t>
      </w:r>
      <w:r w:rsidR="00343C67" w:rsidRPr="00FE223D">
        <w:rPr>
          <w:rFonts w:ascii="Sylfaen" w:hAnsi="Sylfaen"/>
          <w:lang w:val="ka-GE"/>
        </w:rPr>
        <w:t>ნმა დისკრიმინაციის საჩივარი</w:t>
      </w:r>
      <w:r w:rsidR="00066682" w:rsidRPr="00FE223D">
        <w:rPr>
          <w:rFonts w:ascii="Sylfaen" w:hAnsi="Sylfaen"/>
          <w:lang w:val="ka-GE"/>
        </w:rPr>
        <w:t xml:space="preserve"> დააფუძნა</w:t>
      </w:r>
      <w:r w:rsidR="00343C67" w:rsidRPr="00FE223D">
        <w:rPr>
          <w:rFonts w:ascii="Sylfaen" w:hAnsi="Sylfaen"/>
          <w:lang w:val="ka-GE"/>
        </w:rPr>
        <w:t xml:space="preserve">. </w:t>
      </w:r>
    </w:p>
    <w:p w14:paraId="05325C5D" w14:textId="55E247BD" w:rsidR="0002566F" w:rsidRPr="00FE223D" w:rsidRDefault="00F0037F" w:rsidP="0002566F">
      <w:pPr>
        <w:pStyle w:val="SingleTxtG"/>
        <w:rPr>
          <w:rFonts w:ascii="Sylfaen" w:hAnsi="Sylfaen"/>
          <w:lang w:val="ka-GE"/>
        </w:rPr>
      </w:pPr>
      <w:r w:rsidRPr="00FE223D">
        <w:rPr>
          <w:rFonts w:ascii="Sylfaen" w:hAnsi="Sylfaen"/>
        </w:rPr>
        <w:t>4.23</w:t>
      </w:r>
      <w:r w:rsidRPr="00FE223D">
        <w:rPr>
          <w:rFonts w:ascii="Sylfaen" w:hAnsi="Sylfaen"/>
        </w:rPr>
        <w:tab/>
      </w:r>
      <w:r w:rsidR="00343C67" w:rsidRPr="00FE223D">
        <w:rPr>
          <w:rFonts w:ascii="Sylfaen" w:hAnsi="Sylfaen"/>
          <w:lang w:val="ka-GE"/>
        </w:rPr>
        <w:t xml:space="preserve">ზემოთ აღნიშნულიდან გამომდინარე, სახელმწიფო მხარე ასკვნის, რომ შრომის სასამართლოს წინაშე ადგილობრივი სამართალწარმოება და სასამართლოს შეფასება მაღალი სტანდარტისაა და არ არსებობს </w:t>
      </w:r>
      <w:r w:rsidR="00066682" w:rsidRPr="00FE223D">
        <w:rPr>
          <w:rFonts w:ascii="Sylfaen" w:hAnsi="Sylfaen"/>
          <w:lang w:val="ka-GE"/>
        </w:rPr>
        <w:t xml:space="preserve">იმის </w:t>
      </w:r>
      <w:r w:rsidR="00A110B4" w:rsidRPr="00FE223D">
        <w:rPr>
          <w:rFonts w:ascii="Sylfaen" w:hAnsi="Sylfaen"/>
          <w:lang w:val="ka-GE"/>
        </w:rPr>
        <w:t>მინიშნება, რომ ისინი თვითნებური ან ხარვეზიანია, ან სამართლიანობ</w:t>
      </w:r>
      <w:r w:rsidR="00066682" w:rsidRPr="00FE223D">
        <w:rPr>
          <w:rFonts w:ascii="Sylfaen" w:hAnsi="Sylfaen"/>
          <w:lang w:val="ka-GE"/>
        </w:rPr>
        <w:t xml:space="preserve">ას უარყოფს. </w:t>
      </w:r>
      <w:r w:rsidR="00A110B4" w:rsidRPr="00FE223D">
        <w:rPr>
          <w:rFonts w:ascii="Sylfaen" w:hAnsi="Sylfaen"/>
          <w:lang w:val="ka-GE"/>
        </w:rPr>
        <w:t xml:space="preserve">აგრეთვე, არ არსებობს იმის მინიშნებაც, რომ მათ ვერ დაიცვეს ავტორი დისკრიმინაციისგან. ის ფაქტი, რომ შრომის სასამართლოს გადაწყვეტილება ავტორის სასარგებლოდ არ იქნა მიღებული, გავლენას არ ახდენს თავად ამ დასკვნაზე. შესაბამისად, კომიტეტმა უნდა გაითვალისწინოს, რომ შრომის სასამართლოს გადაწყვეტილება </w:t>
      </w:r>
      <w:r w:rsidR="00A110B4" w:rsidRPr="00FE223D">
        <w:rPr>
          <w:rFonts w:ascii="Sylfaen" w:hAnsi="Sylfaen"/>
          <w:lang w:val="ka-GE"/>
        </w:rPr>
        <w:lastRenderedPageBreak/>
        <w:t xml:space="preserve">არ წარმოადგენს ავტორის უფლებების დარღვევას კონცენციის მე-5 და 27-ე მუხლებით. </w:t>
      </w:r>
    </w:p>
    <w:p w14:paraId="0B285376" w14:textId="7F98A561" w:rsidR="00DC3918" w:rsidRPr="00FE223D" w:rsidRDefault="00F0037F" w:rsidP="0002566F">
      <w:pPr>
        <w:pStyle w:val="SingleTxtG"/>
        <w:rPr>
          <w:rFonts w:ascii="Sylfaen" w:hAnsi="Sylfaen"/>
          <w:lang w:val="ka-GE"/>
        </w:rPr>
      </w:pPr>
      <w:r w:rsidRPr="00FE223D">
        <w:rPr>
          <w:rFonts w:ascii="Sylfaen" w:hAnsi="Sylfaen"/>
        </w:rPr>
        <w:t>4.24</w:t>
      </w:r>
      <w:r w:rsidRPr="00FE223D">
        <w:rPr>
          <w:rFonts w:ascii="Sylfaen" w:hAnsi="Sylfaen"/>
        </w:rPr>
        <w:tab/>
      </w:r>
      <w:r w:rsidR="00DC3918" w:rsidRPr="00FE223D">
        <w:rPr>
          <w:rFonts w:ascii="Sylfaen" w:hAnsi="Sylfaen"/>
          <w:lang w:val="ka-GE"/>
        </w:rPr>
        <w:t xml:space="preserve">რაც შეეხება ავტორის მტკიცებას დაფინანსების ნაკლებობის შესახებ, სახელმწიფო მხარე მიიჩნევს, რომ არ არსებობს რაიმე მითითება </w:t>
      </w:r>
      <w:r w:rsidR="00DC3918" w:rsidRPr="00FE223D">
        <w:rPr>
          <w:rFonts w:ascii="Sylfaen" w:hAnsi="Sylfaen" w:cs="Sylfaen"/>
        </w:rPr>
        <w:t>შემოთავაზებულ</w:t>
      </w:r>
      <w:r w:rsidR="00066682" w:rsidRPr="00FE223D">
        <w:rPr>
          <w:rFonts w:ascii="Sylfaen" w:hAnsi="Sylfaen" w:cs="Sylfaen"/>
          <w:lang w:val="ka-GE"/>
        </w:rPr>
        <w:t>ი</w:t>
      </w:r>
      <w:r w:rsidR="00DC3918" w:rsidRPr="00FE223D">
        <w:rPr>
          <w:rFonts w:ascii="Sylfaen" w:hAnsi="Sylfaen"/>
        </w:rPr>
        <w:t xml:space="preserve"> </w:t>
      </w:r>
      <w:r w:rsidR="00DC3918" w:rsidRPr="00FE223D">
        <w:rPr>
          <w:rFonts w:ascii="Sylfaen" w:hAnsi="Sylfaen" w:cs="Sylfaen"/>
        </w:rPr>
        <w:t>დაფინანსების</w:t>
      </w:r>
      <w:r w:rsidR="00DC3918" w:rsidRPr="00FE223D">
        <w:rPr>
          <w:rFonts w:ascii="Sylfaen" w:hAnsi="Sylfaen"/>
        </w:rPr>
        <w:t xml:space="preserve"> </w:t>
      </w:r>
      <w:r w:rsidR="00DC3918" w:rsidRPr="00FE223D">
        <w:rPr>
          <w:rFonts w:ascii="Sylfaen" w:hAnsi="Sylfaen" w:cs="Sylfaen"/>
        </w:rPr>
        <w:t>ნაკლებობასა</w:t>
      </w:r>
      <w:r w:rsidR="00DC3918" w:rsidRPr="00FE223D">
        <w:rPr>
          <w:rFonts w:ascii="Sylfaen" w:hAnsi="Sylfaen"/>
        </w:rPr>
        <w:t xml:space="preserve"> </w:t>
      </w:r>
      <w:r w:rsidR="00DC3918" w:rsidRPr="00FE223D">
        <w:rPr>
          <w:rFonts w:ascii="Sylfaen" w:hAnsi="Sylfaen" w:cs="Sylfaen"/>
        </w:rPr>
        <w:t>და</w:t>
      </w:r>
      <w:r w:rsidR="00DC3918" w:rsidRPr="00FE223D">
        <w:rPr>
          <w:rFonts w:ascii="Sylfaen" w:hAnsi="Sylfaen"/>
        </w:rPr>
        <w:t xml:space="preserve"> </w:t>
      </w:r>
      <w:r w:rsidR="00DC3918" w:rsidRPr="00FE223D">
        <w:rPr>
          <w:rFonts w:ascii="Sylfaen" w:hAnsi="Sylfaen" w:cs="Sylfaen"/>
        </w:rPr>
        <w:t>შრომის</w:t>
      </w:r>
      <w:r w:rsidR="00DC3918" w:rsidRPr="00FE223D">
        <w:rPr>
          <w:rFonts w:ascii="Sylfaen" w:hAnsi="Sylfaen"/>
        </w:rPr>
        <w:t xml:space="preserve"> </w:t>
      </w:r>
      <w:r w:rsidR="00DC3918" w:rsidRPr="00FE223D">
        <w:rPr>
          <w:rFonts w:ascii="Sylfaen" w:hAnsi="Sylfaen" w:cs="Sylfaen"/>
        </w:rPr>
        <w:t>სასამართლოს</w:t>
      </w:r>
      <w:r w:rsidR="00DC3918" w:rsidRPr="00FE223D">
        <w:rPr>
          <w:rFonts w:ascii="Sylfaen" w:hAnsi="Sylfaen"/>
        </w:rPr>
        <w:t xml:space="preserve"> </w:t>
      </w:r>
      <w:r w:rsidR="00DC3918" w:rsidRPr="00FE223D">
        <w:rPr>
          <w:rFonts w:ascii="Sylfaen" w:hAnsi="Sylfaen" w:cs="Sylfaen"/>
          <w:lang w:val="ka-GE"/>
        </w:rPr>
        <w:t>გადაწყვეტილებას</w:t>
      </w:r>
      <w:r w:rsidR="00DC3918" w:rsidRPr="00FE223D">
        <w:rPr>
          <w:rFonts w:ascii="Sylfaen" w:hAnsi="Sylfaen"/>
        </w:rPr>
        <w:t xml:space="preserve"> </w:t>
      </w:r>
      <w:r w:rsidR="00DC3918" w:rsidRPr="00FE223D">
        <w:rPr>
          <w:rFonts w:ascii="Sylfaen" w:hAnsi="Sylfaen" w:cs="Sylfaen"/>
        </w:rPr>
        <w:t>შორის</w:t>
      </w:r>
      <w:r w:rsidR="00DC3918" w:rsidRPr="00FE223D">
        <w:rPr>
          <w:rFonts w:ascii="Sylfaen" w:hAnsi="Sylfaen"/>
        </w:rPr>
        <w:t xml:space="preserve"> </w:t>
      </w:r>
      <w:r w:rsidR="00DC3918" w:rsidRPr="00FE223D">
        <w:rPr>
          <w:rFonts w:ascii="Sylfaen" w:hAnsi="Sylfaen" w:cs="Sylfaen"/>
        </w:rPr>
        <w:t>კონკრეტული</w:t>
      </w:r>
      <w:r w:rsidR="00DC3918" w:rsidRPr="00FE223D">
        <w:rPr>
          <w:rFonts w:ascii="Sylfaen" w:hAnsi="Sylfaen"/>
        </w:rPr>
        <w:t xml:space="preserve"> </w:t>
      </w:r>
      <w:r w:rsidR="00DC3918" w:rsidRPr="00FE223D">
        <w:rPr>
          <w:rFonts w:ascii="Sylfaen" w:hAnsi="Sylfaen" w:cs="Sylfaen"/>
        </w:rPr>
        <w:t>კავშირის</w:t>
      </w:r>
      <w:r w:rsidR="00DC3918" w:rsidRPr="00FE223D">
        <w:rPr>
          <w:rFonts w:ascii="Sylfaen" w:hAnsi="Sylfaen"/>
        </w:rPr>
        <w:t xml:space="preserve"> </w:t>
      </w:r>
      <w:r w:rsidR="00DC3918" w:rsidRPr="00FE223D">
        <w:rPr>
          <w:rFonts w:ascii="Sylfaen" w:hAnsi="Sylfaen" w:cs="Sylfaen"/>
        </w:rPr>
        <w:t>შესახებ</w:t>
      </w:r>
      <w:r w:rsidR="00DC3918" w:rsidRPr="00FE223D">
        <w:rPr>
          <w:rFonts w:ascii="Sylfaen" w:hAnsi="Sylfaen"/>
        </w:rPr>
        <w:t>.</w:t>
      </w:r>
      <w:r w:rsidR="00DC3918" w:rsidRPr="00FE223D">
        <w:rPr>
          <w:rFonts w:ascii="Sylfaen" w:hAnsi="Sylfaen"/>
          <w:lang w:val="ka-GE"/>
        </w:rPr>
        <w:t xml:space="preserve"> შეტყობინების ეს ნაწილი, ზოგადად, გონივრული მისადაგების ღონისძიებების სახელმწიფო დაფინანსებას </w:t>
      </w:r>
      <w:r w:rsidR="0002566F" w:rsidRPr="00FE223D">
        <w:rPr>
          <w:rFonts w:ascii="Sylfaen" w:hAnsi="Sylfaen"/>
          <w:lang w:val="ka-GE"/>
        </w:rPr>
        <w:t xml:space="preserve">ეხება </w:t>
      </w:r>
      <w:r w:rsidR="00DC3918" w:rsidRPr="00FE223D">
        <w:rPr>
          <w:rFonts w:ascii="Sylfaen" w:hAnsi="Sylfaen"/>
          <w:lang w:val="ka-GE"/>
        </w:rPr>
        <w:t xml:space="preserve">და </w:t>
      </w:r>
      <w:r w:rsidR="0002566F" w:rsidRPr="00FE223D">
        <w:rPr>
          <w:rFonts w:ascii="Sylfaen" w:hAnsi="Sylfaen"/>
          <w:lang w:val="ka-GE"/>
        </w:rPr>
        <w:t>უფრო მეტად</w:t>
      </w:r>
      <w:r w:rsidR="00DC3918" w:rsidRPr="00FE223D">
        <w:rPr>
          <w:rFonts w:ascii="Sylfaen" w:hAnsi="Sylfaen"/>
          <w:lang w:val="ka-GE"/>
        </w:rPr>
        <w:t xml:space="preserve"> კონვენციის 35-36-ე მუხლების მიხედვით მოხსენების პროცედურას</w:t>
      </w:r>
      <w:r w:rsidR="0002566F" w:rsidRPr="00FE223D">
        <w:rPr>
          <w:rFonts w:ascii="Sylfaen" w:hAnsi="Sylfaen"/>
          <w:lang w:val="ka-GE"/>
        </w:rPr>
        <w:t xml:space="preserve"> შეესაბამება</w:t>
      </w:r>
      <w:r w:rsidR="00DC3918" w:rsidRPr="00FE223D">
        <w:rPr>
          <w:rFonts w:ascii="Sylfaen" w:hAnsi="Sylfaen"/>
          <w:lang w:val="ka-GE"/>
        </w:rPr>
        <w:t>.</w:t>
      </w:r>
      <w:r w:rsidR="0002566F" w:rsidRPr="00FE223D">
        <w:rPr>
          <w:rFonts w:ascii="Sylfaen" w:hAnsi="Sylfaen"/>
          <w:lang w:val="ka-GE"/>
        </w:rPr>
        <w:t xml:space="preserve"> თუ კომიტეტი განსხვავებულ დასკვნამდე მივა, სახელმწიფო მხარე მიიჩნევს, რომ ამ კითხთან დაკავშირებით, მას სახელმწიფო დისკრეციის განსაკუთრებულად ფართო </w:t>
      </w:r>
      <w:r w:rsidR="008D1A19" w:rsidRPr="00FE223D">
        <w:rPr>
          <w:rFonts w:ascii="Sylfaen" w:hAnsi="Sylfaen"/>
          <w:lang w:val="ka-GE"/>
        </w:rPr>
        <w:t>ზღვარი</w:t>
      </w:r>
      <w:r w:rsidR="0002566F" w:rsidRPr="00FE223D">
        <w:rPr>
          <w:rFonts w:ascii="Sylfaen" w:hAnsi="Sylfaen"/>
          <w:lang w:val="ka-GE"/>
        </w:rPr>
        <w:t xml:space="preserve"> უნდა ჰქონდეს</w:t>
      </w:r>
      <w:r w:rsidR="0002566F" w:rsidRPr="00FE223D">
        <w:rPr>
          <w:rStyle w:val="FootnoteReference"/>
          <w:rFonts w:ascii="Sylfaen" w:hAnsi="Sylfaen"/>
        </w:rPr>
        <w:footnoteReference w:id="21"/>
      </w:r>
      <w:r w:rsidR="0002566F" w:rsidRPr="00FE223D">
        <w:rPr>
          <w:rFonts w:ascii="Sylfaen" w:hAnsi="Sylfaen"/>
          <w:lang w:val="ka-GE"/>
        </w:rPr>
        <w:t xml:space="preserve">. </w:t>
      </w:r>
    </w:p>
    <w:p w14:paraId="7C895075" w14:textId="6F7639B3" w:rsidR="0002566F" w:rsidRPr="00FE223D" w:rsidRDefault="00425A26" w:rsidP="00032539">
      <w:pPr>
        <w:pStyle w:val="SingleTxtG"/>
        <w:rPr>
          <w:rFonts w:ascii="Sylfaen" w:hAnsi="Sylfaen"/>
          <w:lang w:val="ka-GE"/>
        </w:rPr>
      </w:pPr>
      <w:r w:rsidRPr="00FE223D">
        <w:rPr>
          <w:rFonts w:ascii="Sylfaen" w:hAnsi="Sylfaen"/>
        </w:rPr>
        <w:t>4.25</w:t>
      </w:r>
      <w:r w:rsidR="00F0037F" w:rsidRPr="00FE223D">
        <w:rPr>
          <w:rFonts w:ascii="Sylfaen" w:hAnsi="Sylfaen"/>
        </w:rPr>
        <w:tab/>
      </w:r>
      <w:r w:rsidR="0002566F" w:rsidRPr="00FE223D">
        <w:rPr>
          <w:rFonts w:ascii="Sylfaen" w:hAnsi="Sylfaen"/>
          <w:lang w:val="ka-GE"/>
        </w:rPr>
        <w:t xml:space="preserve">სახელმწიფო მხარე ასევე აცხადებს, რომ ავტორის </w:t>
      </w:r>
      <w:r w:rsidR="00794D04" w:rsidRPr="00FE223D">
        <w:rPr>
          <w:rFonts w:ascii="Sylfaen" w:hAnsi="Sylfaen"/>
          <w:lang w:val="ka-GE"/>
        </w:rPr>
        <w:t>დასაქმების ხელშესაწყობად</w:t>
      </w:r>
      <w:r w:rsidR="0002566F" w:rsidRPr="00FE223D">
        <w:rPr>
          <w:rFonts w:ascii="Sylfaen" w:hAnsi="Sylfaen"/>
          <w:lang w:val="ka-GE"/>
        </w:rPr>
        <w:t xml:space="preserve"> დაფინანსების მნიშვნელოვანი</w:t>
      </w:r>
      <w:r w:rsidR="00794D04" w:rsidRPr="00FE223D">
        <w:rPr>
          <w:rFonts w:ascii="Sylfaen" w:hAnsi="Sylfaen"/>
          <w:lang w:val="ka-GE"/>
        </w:rPr>
        <w:t xml:space="preserve"> ღონისძიებები მისთვის მისაწვდომი</w:t>
      </w:r>
      <w:r w:rsidR="005A2933" w:rsidRPr="00FE223D">
        <w:rPr>
          <w:rFonts w:ascii="Sylfaen" w:hAnsi="Sylfaen"/>
          <w:lang w:val="ka-GE"/>
        </w:rPr>
        <w:t xml:space="preserve"> </w:t>
      </w:r>
      <w:r w:rsidR="005A2933" w:rsidRPr="00FE223D">
        <w:rPr>
          <w:rFonts w:ascii="Sylfaen" w:hAnsi="Sylfaen"/>
          <w:lang w:val="ka-GE"/>
        </w:rPr>
        <w:t>იყო</w:t>
      </w:r>
      <w:r w:rsidR="00794D04" w:rsidRPr="00FE223D">
        <w:rPr>
          <w:rFonts w:ascii="Sylfaen" w:hAnsi="Sylfaen"/>
          <w:lang w:val="ka-GE"/>
        </w:rPr>
        <w:t xml:space="preserve">. ამ ღონისძიებებში ყოველდღიური თარჯიმნის </w:t>
      </w:r>
      <w:r w:rsidR="008D1A19" w:rsidRPr="00FE223D">
        <w:rPr>
          <w:rFonts w:ascii="Sylfaen" w:hAnsi="Sylfaen"/>
          <w:lang w:val="ka-GE"/>
        </w:rPr>
        <w:t>ხარჯი</w:t>
      </w:r>
      <w:r w:rsidR="00794D04" w:rsidRPr="00FE223D">
        <w:rPr>
          <w:rFonts w:ascii="Sylfaen" w:hAnsi="Sylfaen"/>
          <w:lang w:val="ka-GE"/>
        </w:rPr>
        <w:t xml:space="preserve"> და რაც მთავარია, წლიური ანაზღაურების სუბსიდია</w:t>
      </w:r>
      <w:r w:rsidR="008D1A19" w:rsidRPr="00FE223D">
        <w:rPr>
          <w:rFonts w:ascii="Sylfaen" w:hAnsi="Sylfaen"/>
          <w:lang w:val="ka-GE"/>
        </w:rPr>
        <w:t xml:space="preserve"> </w:t>
      </w:r>
      <w:r w:rsidR="008D1A19" w:rsidRPr="00FE223D">
        <w:rPr>
          <w:rFonts w:ascii="Sylfaen" w:hAnsi="Sylfaen"/>
          <w:lang w:val="ka-GE"/>
        </w:rPr>
        <w:t>იგულისხმება</w:t>
      </w:r>
      <w:r w:rsidR="00794D04" w:rsidRPr="00FE223D">
        <w:rPr>
          <w:rFonts w:ascii="Sylfaen" w:hAnsi="Sylfaen"/>
          <w:lang w:val="ka-GE"/>
        </w:rPr>
        <w:t>. წლიური ანაზღაურების სუბსიდია წლიური თარჯიმნის ხარჯების, დაახლოებით, 30%-ს დაფარავდა  (740 000 შვედური კრონ</w:t>
      </w:r>
      <w:r w:rsidR="001152CA" w:rsidRPr="00FE223D">
        <w:rPr>
          <w:rFonts w:ascii="Sylfaen" w:hAnsi="Sylfaen"/>
          <w:lang w:val="ka-GE"/>
        </w:rPr>
        <w:t>ა</w:t>
      </w:r>
      <w:r w:rsidR="00794D04" w:rsidRPr="00FE223D">
        <w:rPr>
          <w:rFonts w:ascii="Sylfaen" w:hAnsi="Sylfaen"/>
          <w:lang w:val="ka-GE"/>
        </w:rPr>
        <w:t>დან (</w:t>
      </w:r>
      <w:r w:rsidR="00794D04" w:rsidRPr="00FE223D">
        <w:rPr>
          <w:rFonts w:ascii="Sylfaen" w:hAnsi="Sylfaen"/>
          <w:lang w:val="en-US"/>
        </w:rPr>
        <w:t xml:space="preserve">SEK) </w:t>
      </w:r>
      <w:r w:rsidR="00794D04" w:rsidRPr="00FE223D">
        <w:rPr>
          <w:rFonts w:ascii="Sylfaen" w:hAnsi="Sylfaen"/>
          <w:lang w:val="ka-GE"/>
        </w:rPr>
        <w:t>220 000 შვედურ კრონას (</w:t>
      </w:r>
      <w:r w:rsidR="00794D04" w:rsidRPr="00FE223D">
        <w:rPr>
          <w:rFonts w:ascii="Sylfaen" w:hAnsi="Sylfaen"/>
          <w:lang w:val="en-US"/>
        </w:rPr>
        <w:t>SEK)</w:t>
      </w:r>
      <w:r w:rsidR="00794D04" w:rsidRPr="00FE223D">
        <w:rPr>
          <w:rStyle w:val="FootnoteReference"/>
          <w:rFonts w:ascii="Sylfaen" w:hAnsi="Sylfaen"/>
        </w:rPr>
        <w:footnoteReference w:id="22"/>
      </w:r>
      <w:r w:rsidR="00794D04" w:rsidRPr="00FE223D">
        <w:rPr>
          <w:rFonts w:ascii="Sylfaen" w:hAnsi="Sylfaen"/>
          <w:lang w:val="en-US"/>
        </w:rPr>
        <w:t xml:space="preserve">. </w:t>
      </w:r>
      <w:r w:rsidR="00794D04" w:rsidRPr="00FE223D">
        <w:rPr>
          <w:rFonts w:ascii="Sylfaen" w:hAnsi="Sylfaen"/>
          <w:lang w:val="ka-GE"/>
        </w:rPr>
        <w:t>ამრიგად, ავტორის შემთხვევაში, სახელმწიფო დაფინანსება საკმარისად უნდა ჩ</w:t>
      </w:r>
      <w:r w:rsidR="00F87DE0" w:rsidRPr="00FE223D">
        <w:rPr>
          <w:rFonts w:ascii="Sylfaen" w:hAnsi="Sylfaen"/>
          <w:lang w:val="ka-GE"/>
        </w:rPr>
        <w:t xml:space="preserve">აითვალოს, განსაკუთრებით, სახელმწიფო დისკრეციის ფართო </w:t>
      </w:r>
      <w:r w:rsidR="008D1A19" w:rsidRPr="00FE223D">
        <w:rPr>
          <w:rFonts w:ascii="Sylfaen" w:hAnsi="Sylfaen"/>
          <w:lang w:val="ka-GE"/>
        </w:rPr>
        <w:t xml:space="preserve">ზღვარის </w:t>
      </w:r>
      <w:r w:rsidR="00F87DE0" w:rsidRPr="00FE223D">
        <w:rPr>
          <w:rFonts w:ascii="Sylfaen" w:hAnsi="Sylfaen"/>
          <w:lang w:val="ka-GE"/>
        </w:rPr>
        <w:t xml:space="preserve">გათვალისწინებით, რომლითაც სახელმწიფო უნდა სარგებლობდეს. </w:t>
      </w:r>
    </w:p>
    <w:p w14:paraId="436250B5" w14:textId="4CAD744F" w:rsidR="00F87DE0" w:rsidRPr="00FE223D" w:rsidRDefault="00425A26" w:rsidP="00ED6FCA">
      <w:pPr>
        <w:pStyle w:val="SingleTxtG"/>
        <w:rPr>
          <w:rFonts w:ascii="Sylfaen" w:hAnsi="Sylfaen"/>
          <w:lang w:val="ka-GE"/>
        </w:rPr>
      </w:pPr>
      <w:r w:rsidRPr="00FE223D">
        <w:rPr>
          <w:rFonts w:ascii="Sylfaen" w:hAnsi="Sylfaen"/>
        </w:rPr>
        <w:t>4.26</w:t>
      </w:r>
      <w:r w:rsidR="00F0037F" w:rsidRPr="00FE223D">
        <w:rPr>
          <w:rFonts w:ascii="Sylfaen" w:hAnsi="Sylfaen"/>
        </w:rPr>
        <w:tab/>
      </w:r>
      <w:r w:rsidR="00F87DE0" w:rsidRPr="00FE223D">
        <w:rPr>
          <w:rFonts w:ascii="Sylfaen" w:hAnsi="Sylfaen"/>
          <w:lang w:val="ka-GE"/>
        </w:rPr>
        <w:t xml:space="preserve">სახელმწიფო მხარე ასევე ამტკიცებს, რომ მიუხედავად იმისა, რომ ზემოთ აღნიშნული სახელმწიფოს დაფინანსებული ღონისძიებები ერთადერთი იყო შრომის სასამართლოს მიერ მიღებულ გადაწყვეტილებაში, ეს სულაც არ ნიშნავს, რომ დაფინანსების სხვა წყაროები მიუწვდომელი იყო. ვინაიდან </w:t>
      </w:r>
      <w:r w:rsidR="00440EF1" w:rsidRPr="00FE223D">
        <w:rPr>
          <w:rFonts w:ascii="Sylfaen" w:hAnsi="Sylfaen"/>
          <w:lang w:val="ka-GE"/>
        </w:rPr>
        <w:t>ომბუდსმე</w:t>
      </w:r>
      <w:r w:rsidR="00F87DE0" w:rsidRPr="00FE223D">
        <w:rPr>
          <w:rFonts w:ascii="Sylfaen" w:hAnsi="Sylfaen"/>
          <w:lang w:val="ka-GE"/>
        </w:rPr>
        <w:t xml:space="preserve">ნს </w:t>
      </w:r>
      <w:r w:rsidR="005A2933" w:rsidRPr="00FE223D">
        <w:rPr>
          <w:rFonts w:ascii="Sylfaen" w:hAnsi="Sylfaen"/>
          <w:lang w:val="ka-GE"/>
        </w:rPr>
        <w:t>ეჭვქვეშ</w:t>
      </w:r>
      <w:r w:rsidR="002E2E41" w:rsidRPr="00FE223D">
        <w:rPr>
          <w:rFonts w:ascii="Sylfaen" w:hAnsi="Sylfaen"/>
          <w:lang w:val="ka-GE"/>
        </w:rPr>
        <w:t xml:space="preserve"> არ დაუყენებია, რომ თარჯიმნის ხარჯები მხოლოდ ანაზღაურების სუბსიდიის და ყოველდღიური თარჯიმნის მხარდაჭერის გათვალისწინებით</w:t>
      </w:r>
      <w:r w:rsidR="00846B78" w:rsidRPr="00FE223D">
        <w:rPr>
          <w:rFonts w:ascii="Sylfaen" w:hAnsi="Sylfaen"/>
          <w:lang w:val="ka-GE"/>
        </w:rPr>
        <w:t xml:space="preserve"> </w:t>
      </w:r>
      <w:r w:rsidR="00F413B4" w:rsidRPr="00FE223D">
        <w:rPr>
          <w:rFonts w:ascii="Sylfaen" w:hAnsi="Sylfaen"/>
          <w:lang w:val="ka-GE"/>
        </w:rPr>
        <w:t xml:space="preserve">უნდა დაითვალოს </w:t>
      </w:r>
      <w:r w:rsidR="00846B78" w:rsidRPr="00FE223D">
        <w:rPr>
          <w:rFonts w:ascii="Sylfaen" w:hAnsi="Sylfaen"/>
          <w:lang w:val="ka-GE"/>
        </w:rPr>
        <w:t>და არც ა</w:t>
      </w:r>
      <w:r w:rsidR="002E2E41" w:rsidRPr="00FE223D">
        <w:rPr>
          <w:rFonts w:ascii="Sylfaen" w:hAnsi="Sylfaen"/>
          <w:lang w:val="ka-GE"/>
        </w:rPr>
        <w:t>მ ღონისძიებების ზომა</w:t>
      </w:r>
      <w:r w:rsidR="00846B78" w:rsidRPr="00FE223D">
        <w:rPr>
          <w:rFonts w:ascii="Sylfaen" w:hAnsi="Sylfaen"/>
          <w:lang w:val="ka-GE"/>
        </w:rPr>
        <w:t xml:space="preserve">, სასამართლომ დაფინანსების სხვა საშუალებები არ განიხილა. </w:t>
      </w:r>
    </w:p>
    <w:p w14:paraId="07BE264E" w14:textId="7E63EAF9" w:rsidR="00846B78" w:rsidRPr="00FE223D" w:rsidRDefault="00425A26" w:rsidP="00ED6FCA">
      <w:pPr>
        <w:pStyle w:val="SingleTxtG"/>
        <w:rPr>
          <w:rFonts w:ascii="Sylfaen" w:hAnsi="Sylfaen"/>
          <w:lang w:val="ka-GE"/>
        </w:rPr>
      </w:pPr>
      <w:r w:rsidRPr="00FE223D">
        <w:rPr>
          <w:rFonts w:ascii="Sylfaen" w:hAnsi="Sylfaen"/>
        </w:rPr>
        <w:t>4.27</w:t>
      </w:r>
      <w:r w:rsidR="00F0037F" w:rsidRPr="00FE223D">
        <w:rPr>
          <w:rFonts w:ascii="Sylfaen" w:hAnsi="Sylfaen"/>
        </w:rPr>
        <w:tab/>
      </w:r>
      <w:r w:rsidR="00846B78" w:rsidRPr="00FE223D">
        <w:rPr>
          <w:rFonts w:ascii="Sylfaen" w:hAnsi="Sylfaen"/>
          <w:lang w:val="ka-GE"/>
        </w:rPr>
        <w:t>სახელმწიფო მხარე აღნიშნავს ავტორი</w:t>
      </w:r>
      <w:r w:rsidR="00F413B4" w:rsidRPr="00FE223D">
        <w:rPr>
          <w:rFonts w:ascii="Sylfaen" w:hAnsi="Sylfaen"/>
          <w:lang w:val="ka-GE"/>
        </w:rPr>
        <w:t>ს</w:t>
      </w:r>
      <w:r w:rsidR="00846B78" w:rsidRPr="00FE223D">
        <w:rPr>
          <w:rFonts w:ascii="Sylfaen" w:hAnsi="Sylfaen"/>
          <w:lang w:val="ka-GE"/>
        </w:rPr>
        <w:t xml:space="preserve"> </w:t>
      </w:r>
      <w:r w:rsidR="00F413B4" w:rsidRPr="00FE223D">
        <w:rPr>
          <w:rFonts w:ascii="Sylfaen" w:hAnsi="Sylfaen"/>
          <w:lang w:val="ka-GE"/>
        </w:rPr>
        <w:t>მტკიცებას</w:t>
      </w:r>
      <w:r w:rsidR="00846B78" w:rsidRPr="00FE223D">
        <w:rPr>
          <w:rFonts w:ascii="Sylfaen" w:hAnsi="Sylfaen"/>
          <w:lang w:val="ka-GE"/>
        </w:rPr>
        <w:t>, რომ მისი უფლებები დაირღვა, რადგან უნივერსიტეტმა</w:t>
      </w:r>
      <w:r w:rsidR="00F413B4" w:rsidRPr="00FE223D">
        <w:rPr>
          <w:rFonts w:ascii="Sylfaen" w:hAnsi="Sylfaen"/>
          <w:lang w:val="ka-GE"/>
        </w:rPr>
        <w:t>,</w:t>
      </w:r>
      <w:r w:rsidR="00846B78" w:rsidRPr="00FE223D">
        <w:rPr>
          <w:rFonts w:ascii="Sylfaen" w:hAnsi="Sylfaen"/>
          <w:lang w:val="ka-GE"/>
        </w:rPr>
        <w:t xml:space="preserve"> თარჯიმნის გარდა, </w:t>
      </w:r>
      <w:r w:rsidR="00D9638F" w:rsidRPr="00FE223D">
        <w:rPr>
          <w:rFonts w:ascii="Sylfaen" w:hAnsi="Sylfaen"/>
          <w:lang w:val="ka-GE"/>
        </w:rPr>
        <w:t>სხვა ღონისძიებები</w:t>
      </w:r>
      <w:r w:rsidR="00F413B4" w:rsidRPr="00FE223D">
        <w:rPr>
          <w:rFonts w:ascii="Sylfaen" w:hAnsi="Sylfaen"/>
          <w:lang w:val="ka-GE"/>
        </w:rPr>
        <w:t xml:space="preserve"> </w:t>
      </w:r>
      <w:r w:rsidR="00F413B4" w:rsidRPr="00FE223D">
        <w:rPr>
          <w:rFonts w:ascii="Sylfaen" w:hAnsi="Sylfaen"/>
          <w:lang w:val="ka-GE"/>
        </w:rPr>
        <w:t>არ შეისწავლა</w:t>
      </w:r>
      <w:r w:rsidR="00846B78" w:rsidRPr="00FE223D">
        <w:rPr>
          <w:rFonts w:ascii="Sylfaen" w:hAnsi="Sylfaen"/>
          <w:lang w:val="ka-GE"/>
        </w:rPr>
        <w:t xml:space="preserve">. </w:t>
      </w:r>
      <w:r w:rsidR="00E67DD6" w:rsidRPr="00FE223D">
        <w:rPr>
          <w:rFonts w:ascii="Sylfaen" w:hAnsi="Sylfaen"/>
          <w:lang w:val="ka-GE"/>
        </w:rPr>
        <w:t xml:space="preserve">სახელმწიფო მხარე თანასწორობის </w:t>
      </w:r>
      <w:r w:rsidR="00440EF1" w:rsidRPr="00FE223D">
        <w:rPr>
          <w:rFonts w:ascii="Sylfaen" w:hAnsi="Sylfaen"/>
          <w:lang w:val="ka-GE"/>
        </w:rPr>
        <w:t>ომბუდსმე</w:t>
      </w:r>
      <w:r w:rsidR="00E67DD6" w:rsidRPr="00FE223D">
        <w:rPr>
          <w:rFonts w:ascii="Sylfaen" w:hAnsi="Sylfaen"/>
          <w:lang w:val="ka-GE"/>
        </w:rPr>
        <w:t>ნისთვის უნივერსიტეტის მიერ 2016 წლის 8 ივლისს გაცემულ პასუხზე</w:t>
      </w:r>
      <w:r w:rsidR="00F413B4" w:rsidRPr="00FE223D">
        <w:rPr>
          <w:rFonts w:ascii="Sylfaen" w:hAnsi="Sylfaen"/>
          <w:lang w:val="ka-GE"/>
        </w:rPr>
        <w:t xml:space="preserve"> </w:t>
      </w:r>
      <w:r w:rsidR="00F413B4" w:rsidRPr="00FE223D">
        <w:rPr>
          <w:rFonts w:ascii="Sylfaen" w:hAnsi="Sylfaen"/>
          <w:lang w:val="ka-GE"/>
        </w:rPr>
        <w:t>მიუთითებს</w:t>
      </w:r>
      <w:r w:rsidR="00E67DD6" w:rsidRPr="00FE223D">
        <w:rPr>
          <w:rFonts w:ascii="Sylfaen" w:hAnsi="Sylfaen"/>
          <w:lang w:val="ka-GE"/>
        </w:rPr>
        <w:t xml:space="preserve">, სადაც მან დაასკვნა, რომ შეთავაზებული ღონისძიებები ლექტორის პოსტზე არაპროპორციულ ცვლილებებს მოითხოვდა. სახელმწიფო მხარე იმეორებს, რომ შეტყობინების ეს ნაწილი დაუშვებლად უნდა ჩაითვალოს. ის მიიჩნევს, რომ არსებული შეტყობინება კონვენციის დარღვევას არ ავლენს. </w:t>
      </w:r>
    </w:p>
    <w:p w14:paraId="1FF5C320" w14:textId="510142CA" w:rsidR="00F0037F" w:rsidRPr="00FE223D" w:rsidRDefault="00F0037F" w:rsidP="00ED6FCA">
      <w:pPr>
        <w:pStyle w:val="H23G"/>
        <w:rPr>
          <w:rFonts w:ascii="Sylfaen" w:hAnsi="Sylfaen"/>
        </w:rPr>
      </w:pPr>
      <w:r w:rsidRPr="00FE223D">
        <w:rPr>
          <w:rFonts w:ascii="Sylfaen" w:hAnsi="Sylfaen"/>
        </w:rPr>
        <w:tab/>
      </w:r>
      <w:r w:rsidRPr="00FE223D">
        <w:rPr>
          <w:rFonts w:ascii="Sylfaen" w:hAnsi="Sylfaen"/>
        </w:rPr>
        <w:tab/>
      </w:r>
      <w:r w:rsidR="007F7703" w:rsidRPr="00FE223D">
        <w:rPr>
          <w:rFonts w:ascii="Sylfaen" w:hAnsi="Sylfaen"/>
          <w:lang w:val="ka-GE"/>
        </w:rPr>
        <w:t xml:space="preserve">ავტორის კომენტარები სახელმწიფო მხარის დაკვირვებების შესახებ </w:t>
      </w:r>
    </w:p>
    <w:p w14:paraId="6975AF34" w14:textId="3D2CB41F" w:rsidR="00354013" w:rsidRPr="00FE223D" w:rsidRDefault="00F0037F" w:rsidP="00354013">
      <w:pPr>
        <w:pStyle w:val="SingleTxtG"/>
        <w:rPr>
          <w:rFonts w:ascii="Sylfaen" w:hAnsi="Sylfaen"/>
          <w:lang w:val="ka-GE"/>
        </w:rPr>
      </w:pPr>
      <w:r w:rsidRPr="00FE223D">
        <w:rPr>
          <w:rFonts w:ascii="Sylfaen" w:hAnsi="Sylfaen"/>
        </w:rPr>
        <w:t>5.1</w:t>
      </w:r>
      <w:r w:rsidRPr="00FE223D">
        <w:rPr>
          <w:rFonts w:ascii="Sylfaen" w:hAnsi="Sylfaen"/>
        </w:rPr>
        <w:tab/>
      </w:r>
      <w:r w:rsidR="004F4B74" w:rsidRPr="00FE223D">
        <w:rPr>
          <w:rFonts w:ascii="Sylfaen" w:hAnsi="Sylfaen"/>
          <w:lang w:val="ka-GE"/>
        </w:rPr>
        <w:t xml:space="preserve">2019 წლის 15 იანვრის კომენტარში ავტორი ადასტურებს, რომ მან ადმინისტრაციული სააპელაციო სასამართლოს გადაწყვეტილება უზენაეს ადმინისტრაციულ სასამართლოში არ გაასაჩივრა. თუმცა ის ამტკიცებს, რომ ასეთი გასაჩივრება არ იყო აუცილებელი რელევანტური ადგილობრივი </w:t>
      </w:r>
      <w:r w:rsidR="004F4B74" w:rsidRPr="00FE223D">
        <w:rPr>
          <w:rFonts w:ascii="Sylfaen" w:hAnsi="Sylfaen"/>
          <w:lang w:val="ka-GE"/>
        </w:rPr>
        <w:lastRenderedPageBreak/>
        <w:t xml:space="preserve">სამართლებრივი საშუალებების ამოწურვისთვის. ის აცხადებს, რომ თანასწორობის </w:t>
      </w:r>
      <w:r w:rsidR="00440EF1" w:rsidRPr="00FE223D">
        <w:rPr>
          <w:rFonts w:ascii="Sylfaen" w:hAnsi="Sylfaen"/>
          <w:lang w:val="ka-GE"/>
        </w:rPr>
        <w:t>ომბუდსმე</w:t>
      </w:r>
      <w:r w:rsidR="004F4B74" w:rsidRPr="00FE223D">
        <w:rPr>
          <w:rFonts w:ascii="Sylfaen" w:hAnsi="Sylfaen"/>
          <w:lang w:val="ka-GE"/>
        </w:rPr>
        <w:t xml:space="preserve">ნმა მას ურჩია, საჩივარი </w:t>
      </w:r>
      <w:r w:rsidR="00F413B4" w:rsidRPr="00FE223D">
        <w:rPr>
          <w:rFonts w:ascii="Sylfaen" w:hAnsi="Sylfaen"/>
          <w:lang w:val="ka-GE"/>
        </w:rPr>
        <w:t xml:space="preserve">არ შეეტანა </w:t>
      </w:r>
      <w:r w:rsidR="004F4B74" w:rsidRPr="00FE223D">
        <w:rPr>
          <w:rFonts w:ascii="Sylfaen" w:hAnsi="Sylfaen"/>
          <w:lang w:val="ka-GE"/>
        </w:rPr>
        <w:t xml:space="preserve">დისკრიმინაციის </w:t>
      </w:r>
      <w:r w:rsidR="00D9638F" w:rsidRPr="00FE223D">
        <w:rPr>
          <w:rFonts w:ascii="Sylfaen" w:hAnsi="Sylfaen"/>
          <w:lang w:val="ka-GE"/>
        </w:rPr>
        <w:t xml:space="preserve">შესახებ </w:t>
      </w:r>
      <w:r w:rsidR="004F4B74" w:rsidRPr="00FE223D">
        <w:rPr>
          <w:rFonts w:ascii="Sylfaen" w:hAnsi="Sylfaen"/>
          <w:lang w:val="ka-GE"/>
        </w:rPr>
        <w:t xml:space="preserve">კანონის მე-6 თავის მე-9 ნაწილის შესაბამისად. </w:t>
      </w:r>
    </w:p>
    <w:p w14:paraId="2F1F009D" w14:textId="33D52599" w:rsidR="004F4B74" w:rsidRPr="00FE223D" w:rsidRDefault="00F0037F" w:rsidP="00354013">
      <w:pPr>
        <w:pStyle w:val="SingleTxtG"/>
        <w:rPr>
          <w:rFonts w:ascii="Sylfaen" w:hAnsi="Sylfaen"/>
          <w:lang w:val="ka-GE"/>
        </w:rPr>
      </w:pPr>
      <w:r w:rsidRPr="00FE223D">
        <w:rPr>
          <w:rFonts w:ascii="Sylfaen" w:hAnsi="Sylfaen"/>
        </w:rPr>
        <w:t>5.2</w:t>
      </w:r>
      <w:r w:rsidRPr="00FE223D">
        <w:rPr>
          <w:rFonts w:ascii="Sylfaen" w:hAnsi="Sylfaen"/>
        </w:rPr>
        <w:tab/>
      </w:r>
      <w:r w:rsidR="004F4B74" w:rsidRPr="00FE223D">
        <w:rPr>
          <w:rFonts w:ascii="Sylfaen" w:hAnsi="Sylfaen"/>
          <w:lang w:val="ka-GE"/>
        </w:rPr>
        <w:t xml:space="preserve">ავტორი დამატებით ამტკიცებს, რომ სახელმწიფო მხარემ არ აღწერა ლექტორის გამოცხადებული თანამდებობის ყველა სამუშაო მოვალეობა. ერთ-ერთი მათგანი ისაა, რომ </w:t>
      </w:r>
      <w:r w:rsidR="004D571D" w:rsidRPr="00FE223D">
        <w:rPr>
          <w:rFonts w:ascii="Sylfaen" w:hAnsi="Sylfaen"/>
          <w:lang w:val="ka-GE"/>
        </w:rPr>
        <w:t>დასაქმებიდან ორი წლის შემდეგ, ლექტორი კვლევითი შესაძლებლობებით</w:t>
      </w:r>
      <w:r w:rsidR="00F413B4" w:rsidRPr="00FE223D">
        <w:rPr>
          <w:rFonts w:ascii="Sylfaen" w:hAnsi="Sylfaen"/>
          <w:lang w:val="ka-GE"/>
        </w:rPr>
        <w:t xml:space="preserve"> </w:t>
      </w:r>
      <w:r w:rsidR="00F413B4" w:rsidRPr="00FE223D">
        <w:rPr>
          <w:rFonts w:ascii="Sylfaen" w:hAnsi="Sylfaen"/>
          <w:lang w:val="ka-GE"/>
        </w:rPr>
        <w:t>სარგებლობს</w:t>
      </w:r>
      <w:r w:rsidR="004D571D" w:rsidRPr="00FE223D">
        <w:rPr>
          <w:rFonts w:ascii="Sylfaen" w:hAnsi="Sylfaen"/>
          <w:lang w:val="ka-GE"/>
        </w:rPr>
        <w:t xml:space="preserve">. ყველა უნივერსიტეტი სამართლებრივად ვალდებულია, ლექტორებს კარიერული პროგრამა შესთავაზონ, პროფესორის პოზიციაზე განაცხადის შეტანის შესაძლებლობით, რომელიც, საბოლოო ჯამში, ნაკლებ სწავლებას მოითხოვს. სამსახურის ყველა ასპექტი არ საჭიროებს თარჯიმანს, მაგალითად, როცა ლექტორი კომპიუტერს დამხმარე საშუალებად იყენებს. ავტორი მიიჩნევს, რომ სახელმწიფო მხარე ცდება, როდესაც ამტკიცებს, რომ </w:t>
      </w:r>
      <w:r w:rsidR="007A2165" w:rsidRPr="00FE223D">
        <w:rPr>
          <w:rFonts w:ascii="Sylfaen" w:hAnsi="Sylfaen"/>
          <w:lang w:val="ka-GE"/>
        </w:rPr>
        <w:t>მომჩივანი</w:t>
      </w:r>
      <w:r w:rsidR="004D571D" w:rsidRPr="00FE223D">
        <w:rPr>
          <w:rFonts w:ascii="Sylfaen" w:hAnsi="Sylfaen"/>
          <w:lang w:val="ka-GE"/>
        </w:rPr>
        <w:t xml:space="preserve"> დიდ ჯგუფებს ვერ ასწავლის, ჟესტური ენის თარჯიმნებთან ერთად ან მა</w:t>
      </w:r>
      <w:r w:rsidR="007A2165" w:rsidRPr="00FE223D">
        <w:rPr>
          <w:rFonts w:ascii="Sylfaen" w:hAnsi="Sylfaen"/>
          <w:lang w:val="ka-GE"/>
        </w:rPr>
        <w:t xml:space="preserve">თ გარეშე, მაგალითად, ონლაინ სწავლების ან შებრუნებული საკლასო ოთახის მიდგომის </w:t>
      </w:r>
      <w:r w:rsidR="00427304" w:rsidRPr="00FE223D">
        <w:rPr>
          <w:rFonts w:ascii="Sylfaen" w:hAnsi="Sylfaen"/>
          <w:lang w:val="ka-GE"/>
        </w:rPr>
        <w:t>საშუალებით</w:t>
      </w:r>
      <w:r w:rsidR="007A2165" w:rsidRPr="00FE223D">
        <w:rPr>
          <w:rFonts w:ascii="Sylfaen" w:hAnsi="Sylfaen"/>
          <w:lang w:val="ka-GE"/>
        </w:rPr>
        <w:t>. უფრო და უფრო მეტმა უნივერსიტეტმა დანერგა ამ ტიპის ონლაინ სწავლება. ამიტომ, სწავლების ყველა ფორმიდან, ლექტორების უმრავლესობა</w:t>
      </w:r>
      <w:r w:rsidR="00354013" w:rsidRPr="00FE223D">
        <w:rPr>
          <w:rFonts w:ascii="Sylfaen" w:hAnsi="Sylfaen"/>
          <w:lang w:val="ka-GE"/>
        </w:rPr>
        <w:t>ს</w:t>
      </w:r>
      <w:r w:rsidR="007A2165" w:rsidRPr="00FE223D">
        <w:rPr>
          <w:rFonts w:ascii="Sylfaen" w:hAnsi="Sylfaen"/>
          <w:lang w:val="ka-GE"/>
        </w:rPr>
        <w:t xml:space="preserve"> სემინარებ</w:t>
      </w:r>
      <w:r w:rsidR="00354013" w:rsidRPr="00FE223D">
        <w:rPr>
          <w:rFonts w:ascii="Sylfaen" w:hAnsi="Sylfaen"/>
          <w:lang w:val="ka-GE"/>
        </w:rPr>
        <w:t xml:space="preserve">ი ურჩევნია </w:t>
      </w:r>
      <w:r w:rsidR="007A2165" w:rsidRPr="00FE223D">
        <w:rPr>
          <w:rFonts w:ascii="Sylfaen" w:hAnsi="Sylfaen"/>
          <w:lang w:val="ka-GE"/>
        </w:rPr>
        <w:t xml:space="preserve"> სტუდენტების მემორანდუმებისა და საგამოცდო ესსეების </w:t>
      </w:r>
      <w:r w:rsidR="00354013" w:rsidRPr="00FE223D">
        <w:rPr>
          <w:rFonts w:ascii="Sylfaen" w:hAnsi="Sylfaen"/>
          <w:lang w:val="ka-GE"/>
        </w:rPr>
        <w:t xml:space="preserve">ზედამხედველობას. ამიტომ, უნივერსიტეტისთვის არ არსებობს სამუშაო ვალდებულებების გადანაწილების ფორმალური ბარიერი. ეს ფაქტები </w:t>
      </w:r>
      <w:r w:rsidR="00427304" w:rsidRPr="00FE223D">
        <w:rPr>
          <w:rFonts w:ascii="Sylfaen" w:hAnsi="Sylfaen"/>
          <w:lang w:val="ka-GE"/>
        </w:rPr>
        <w:t>შეესაბამება</w:t>
      </w:r>
      <w:r w:rsidR="00354013" w:rsidRPr="00FE223D">
        <w:rPr>
          <w:rFonts w:ascii="Sylfaen" w:hAnsi="Sylfaen"/>
          <w:lang w:val="ka-GE"/>
        </w:rPr>
        <w:t xml:space="preserve"> გრძელვადიან დანახარჯებ</w:t>
      </w:r>
      <w:r w:rsidR="00427304" w:rsidRPr="00FE223D">
        <w:rPr>
          <w:rFonts w:ascii="Sylfaen" w:hAnsi="Sylfaen"/>
          <w:lang w:val="ka-GE"/>
        </w:rPr>
        <w:t>ს</w:t>
      </w:r>
      <w:r w:rsidR="00354013" w:rsidRPr="00FE223D">
        <w:rPr>
          <w:rFonts w:ascii="Sylfaen" w:hAnsi="Sylfaen"/>
          <w:lang w:val="ka-GE"/>
        </w:rPr>
        <w:t xml:space="preserve">, რამდენადაც ხარჯები ამ თანამდებობაზე ავტორის კარიერის განვითარების უკუპროპორციულად, ეტაპობრივად შემცირდებოდა. </w:t>
      </w:r>
    </w:p>
    <w:p w14:paraId="15D440D5" w14:textId="74CCBDA7" w:rsidR="00354013" w:rsidRPr="00FE223D" w:rsidRDefault="00F0037F" w:rsidP="00ED6FCA">
      <w:pPr>
        <w:pStyle w:val="SingleTxtG"/>
        <w:rPr>
          <w:rFonts w:ascii="Sylfaen" w:hAnsi="Sylfaen"/>
          <w:lang w:val="ka-GE"/>
        </w:rPr>
      </w:pPr>
      <w:r w:rsidRPr="00FE223D">
        <w:rPr>
          <w:rFonts w:ascii="Sylfaen" w:hAnsi="Sylfaen"/>
        </w:rPr>
        <w:t>5.3</w:t>
      </w:r>
      <w:r w:rsidRPr="00FE223D">
        <w:rPr>
          <w:rFonts w:ascii="Sylfaen" w:hAnsi="Sylfaen"/>
        </w:rPr>
        <w:tab/>
      </w:r>
      <w:r w:rsidR="00354013" w:rsidRPr="00FE223D">
        <w:rPr>
          <w:rFonts w:ascii="Sylfaen" w:hAnsi="Sylfaen"/>
          <w:lang w:val="ka-GE"/>
        </w:rPr>
        <w:t>ავტორი მიესალმება</w:t>
      </w:r>
      <w:r w:rsidR="007A137F" w:rsidRPr="00FE223D">
        <w:rPr>
          <w:rFonts w:ascii="Sylfaen" w:hAnsi="Sylfaen"/>
          <w:lang w:val="ka-GE"/>
        </w:rPr>
        <w:t xml:space="preserve"> </w:t>
      </w:r>
      <w:r w:rsidR="00354013" w:rsidRPr="00FE223D">
        <w:rPr>
          <w:rFonts w:ascii="Sylfaen" w:hAnsi="Sylfaen"/>
          <w:lang w:val="ka-GE"/>
        </w:rPr>
        <w:t xml:space="preserve">სახელმწიფო მხარის მიერ </w:t>
      </w:r>
      <w:r w:rsidR="007A137F" w:rsidRPr="00FE223D">
        <w:rPr>
          <w:rFonts w:ascii="Sylfaen" w:hAnsi="Sylfaen"/>
          <w:lang w:val="ka-GE"/>
        </w:rPr>
        <w:t xml:space="preserve">2016 წლის ყოველწლიურ ანგარიშში </w:t>
      </w:r>
      <w:r w:rsidR="00354013" w:rsidRPr="00FE223D">
        <w:rPr>
          <w:rFonts w:ascii="Sylfaen" w:hAnsi="Sylfaen"/>
          <w:lang w:val="ka-GE"/>
        </w:rPr>
        <w:t>გაკეთებულ განმარტებებს „გამოუყენებელ შენატანებთან“ დაკ</w:t>
      </w:r>
      <w:r w:rsidR="007A137F" w:rsidRPr="00FE223D">
        <w:rPr>
          <w:rFonts w:ascii="Sylfaen" w:hAnsi="Sylfaen"/>
          <w:lang w:val="ka-GE"/>
        </w:rPr>
        <w:t>ავშირებით, რომლებიც სწავლებისა და კვლევითი პროექტებისთვისაა განკუთვნილი. თუმცა ის ამტკიცებს, რომ 2016 წლის ფისკალური წლისთვის უნივერსიტეტს, დაახლოებით, 12 მილიონი შვედური კრონას (</w:t>
      </w:r>
      <w:r w:rsidR="007A137F" w:rsidRPr="00FE223D">
        <w:rPr>
          <w:rFonts w:ascii="Sylfaen" w:hAnsi="Sylfaen"/>
          <w:lang w:val="en-US"/>
        </w:rPr>
        <w:t>SEK)</w:t>
      </w:r>
      <w:r w:rsidR="007A137F" w:rsidRPr="00FE223D">
        <w:rPr>
          <w:rStyle w:val="FootnoteReference"/>
          <w:rFonts w:ascii="Sylfaen" w:hAnsi="Sylfaen"/>
        </w:rPr>
        <w:footnoteReference w:id="23"/>
      </w:r>
      <w:r w:rsidR="007A137F" w:rsidRPr="00FE223D">
        <w:rPr>
          <w:rFonts w:ascii="Sylfaen" w:hAnsi="Sylfaen"/>
        </w:rPr>
        <w:t xml:space="preserve"> </w:t>
      </w:r>
      <w:r w:rsidR="007A137F" w:rsidRPr="00FE223D">
        <w:rPr>
          <w:rFonts w:ascii="Sylfaen" w:hAnsi="Sylfaen"/>
          <w:lang w:val="en-US"/>
        </w:rPr>
        <w:t xml:space="preserve"> </w:t>
      </w:r>
      <w:r w:rsidR="007A137F" w:rsidRPr="00FE223D">
        <w:rPr>
          <w:rFonts w:ascii="Sylfaen" w:hAnsi="Sylfaen"/>
          <w:lang w:val="ka-GE"/>
        </w:rPr>
        <w:t>რაოდენობის წმინდა ნამატი ჰქონდა, რ</w:t>
      </w:r>
      <w:r w:rsidR="002F7A66" w:rsidRPr="00FE223D">
        <w:rPr>
          <w:rFonts w:ascii="Sylfaen" w:hAnsi="Sylfaen"/>
          <w:lang w:val="ka-GE"/>
        </w:rPr>
        <w:t>აც</w:t>
      </w:r>
      <w:r w:rsidR="007A137F" w:rsidRPr="00FE223D">
        <w:rPr>
          <w:rFonts w:ascii="Sylfaen" w:hAnsi="Sylfaen"/>
          <w:lang w:val="ka-GE"/>
        </w:rPr>
        <w:t xml:space="preserve"> უნივერსიტეტის საქმიანობის ნებისმიერი ხარჯი</w:t>
      </w:r>
      <w:r w:rsidR="002F7A66" w:rsidRPr="00FE223D">
        <w:rPr>
          <w:rFonts w:ascii="Sylfaen" w:hAnsi="Sylfaen"/>
          <w:lang w:val="ka-GE"/>
        </w:rPr>
        <w:t>ს</w:t>
      </w:r>
      <w:r w:rsidR="007A137F" w:rsidRPr="00FE223D">
        <w:rPr>
          <w:rFonts w:ascii="Sylfaen" w:hAnsi="Sylfaen"/>
          <w:lang w:val="ka-GE"/>
        </w:rPr>
        <w:t xml:space="preserve"> და</w:t>
      </w:r>
      <w:r w:rsidR="002F7A66" w:rsidRPr="00FE223D">
        <w:rPr>
          <w:rFonts w:ascii="Sylfaen" w:hAnsi="Sylfaen"/>
          <w:lang w:val="ka-GE"/>
        </w:rPr>
        <w:t>ფარვას შეძლებდა</w:t>
      </w:r>
      <w:r w:rsidR="007A137F" w:rsidRPr="00FE223D">
        <w:rPr>
          <w:rFonts w:ascii="Sylfaen" w:hAnsi="Sylfaen"/>
          <w:lang w:val="ka-GE"/>
        </w:rPr>
        <w:t xml:space="preserve">. ეს ნამატი 2016 წლის ფისკალური წლის შემოსავალსა და ხარჯებს შორის სხვაობის შედეგია. </w:t>
      </w:r>
    </w:p>
    <w:p w14:paraId="16CB26D1" w14:textId="51AD1773" w:rsidR="00CD587C" w:rsidRPr="00FE223D" w:rsidRDefault="00F0037F" w:rsidP="00CD587C">
      <w:pPr>
        <w:pStyle w:val="SingleTxtG"/>
        <w:rPr>
          <w:rFonts w:ascii="Sylfaen" w:hAnsi="Sylfaen"/>
          <w:lang w:val="ka-GE"/>
        </w:rPr>
      </w:pPr>
      <w:r w:rsidRPr="00FE223D">
        <w:rPr>
          <w:rFonts w:ascii="Sylfaen" w:hAnsi="Sylfaen"/>
        </w:rPr>
        <w:t>5.4</w:t>
      </w:r>
      <w:r w:rsidRPr="00FE223D">
        <w:rPr>
          <w:rFonts w:ascii="Sylfaen" w:hAnsi="Sylfaen"/>
        </w:rPr>
        <w:tab/>
      </w:r>
      <w:r w:rsidR="00D40E98" w:rsidRPr="00FE223D">
        <w:rPr>
          <w:rFonts w:ascii="Sylfaen" w:hAnsi="Sylfaen"/>
          <w:lang w:val="ka-GE"/>
        </w:rPr>
        <w:t>ავტორი ასევე იხსენებს, რომ დასაქმების შეწყვეტის გადაწყვეტილების მიღებამდე, უნივერსიტეტმა ის არ გააფრთხილა იმის შესახებ, რომ სახელმწიფოს მიერ დაფინანსებული ღონისძიებები არასაკმარისი იყო. ეს ფაქტი არ აღუნიშნავს სახელმწიფო მხარესაც. ავტორი ამტკიცებს, რომ საბოლოო გადაწყვეტილების შემდეგ, ის დაუყოვნებლივ დაუკავშირდა უნივერსიტეტს ალტერნატიული ღონისძიებების (რომლებიც თარჯიმნის ნაკლებ ხარჯებს საჭიროებდა) განსახილველად</w:t>
      </w:r>
      <w:r w:rsidR="002F7A66" w:rsidRPr="00FE223D">
        <w:rPr>
          <w:rFonts w:ascii="Sylfaen" w:hAnsi="Sylfaen"/>
          <w:lang w:val="ka-GE"/>
        </w:rPr>
        <w:t>,</w:t>
      </w:r>
      <w:r w:rsidR="00A64F36" w:rsidRPr="00FE223D">
        <w:rPr>
          <w:rFonts w:ascii="Sylfaen" w:hAnsi="Sylfaen"/>
          <w:lang w:val="ka-GE"/>
        </w:rPr>
        <w:t xml:space="preserve"> მაგრამ უნივერსიტეტმა ეს შეთავაზება უგულებელყო. ამის შემდეგ, ავტორი კომპეტენტურ ორგანოებს დაუკავშირდა, რათა ეკითხა, შესაძლებელი იყო თუ არა მისთვის გამონაკლისის დაშვება იმ ზოგადი განკარგულებიდან, რომელიც შვედეთის საჯარო დასაქმების სამსახურს სამუშაოს სუბსიდირებისთვის თვეში 18 300 შვედური კრონას (</w:t>
      </w:r>
      <w:r w:rsidR="00A64F36" w:rsidRPr="00FE223D">
        <w:rPr>
          <w:rFonts w:ascii="Sylfaen" w:hAnsi="Sylfaen"/>
          <w:lang w:val="en-US"/>
        </w:rPr>
        <w:t>SEK)</w:t>
      </w:r>
      <w:r w:rsidR="00A64F36" w:rsidRPr="00FE223D">
        <w:rPr>
          <w:rStyle w:val="FootnoteReference"/>
          <w:rFonts w:ascii="Sylfaen" w:hAnsi="Sylfaen"/>
        </w:rPr>
        <w:footnoteReference w:id="24"/>
      </w:r>
      <w:r w:rsidR="00A64F36" w:rsidRPr="00FE223D">
        <w:rPr>
          <w:rFonts w:ascii="Sylfaen" w:hAnsi="Sylfaen"/>
          <w:lang w:val="en-US"/>
        </w:rPr>
        <w:t xml:space="preserve"> </w:t>
      </w:r>
      <w:r w:rsidR="00A64F36" w:rsidRPr="00FE223D">
        <w:rPr>
          <w:rFonts w:ascii="Sylfaen" w:hAnsi="Sylfaen"/>
          <w:lang w:val="ka-GE"/>
        </w:rPr>
        <w:t xml:space="preserve">ზღვრული ოდენობის გადაჭარბების უფლებას აძლევდა. </w:t>
      </w:r>
      <w:r w:rsidR="00B12F93" w:rsidRPr="00FE223D">
        <w:rPr>
          <w:rFonts w:ascii="Sylfaen" w:hAnsi="Sylfaen"/>
          <w:lang w:val="ka-GE"/>
        </w:rPr>
        <w:t>ავტორი ამ სამსახურთან</w:t>
      </w:r>
      <w:r w:rsidR="002F7A66" w:rsidRPr="00FE223D">
        <w:rPr>
          <w:rFonts w:ascii="Sylfaen" w:hAnsi="Sylfaen"/>
          <w:lang w:val="ka-GE"/>
        </w:rPr>
        <w:t xml:space="preserve"> </w:t>
      </w:r>
      <w:r w:rsidR="002F7A66" w:rsidRPr="00FE223D">
        <w:rPr>
          <w:rFonts w:ascii="Sylfaen" w:hAnsi="Sylfaen"/>
          <w:lang w:val="ka-GE"/>
        </w:rPr>
        <w:t>სახელმწიფო მხარემ</w:t>
      </w:r>
      <w:r w:rsidR="00B12F93" w:rsidRPr="00FE223D">
        <w:rPr>
          <w:rFonts w:ascii="Sylfaen" w:hAnsi="Sylfaen"/>
          <w:lang w:val="ka-GE"/>
        </w:rPr>
        <w:t xml:space="preserve"> გადაამისამართა, რომელმაც მოგვიანებით უთხრა, რომ მისთვის გამონაკლისს არ დაუშვებდნენ. მეტიც, ავტორი სტოკჰოლმის საოლქო საბჭოს დაუკავშირდა და ჰკითხა, </w:t>
      </w:r>
      <w:r w:rsidR="002F7A66" w:rsidRPr="00FE223D">
        <w:rPr>
          <w:rFonts w:ascii="Sylfaen" w:hAnsi="Sylfaen"/>
          <w:lang w:val="ka-GE"/>
        </w:rPr>
        <w:t xml:space="preserve">შეეძლო თუ არა </w:t>
      </w:r>
      <w:r w:rsidR="00B12F93" w:rsidRPr="00FE223D">
        <w:rPr>
          <w:rFonts w:ascii="Sylfaen" w:hAnsi="Sylfaen"/>
          <w:lang w:val="ka-GE"/>
        </w:rPr>
        <w:t xml:space="preserve">უნივერსიტეტს მისთვის ყოველდღიური თარჯიმნის უზრუნველყოფა, თვეში 20 საათის განმავლობაში, რაც მას სტუდენტების სწავლების საშუალებას მისცემდა. საბჭომ უპასუხა, რომ „ამჟამინდელი პრაქტიკიდან გამომდინარე“, ეს ვერ </w:t>
      </w:r>
      <w:r w:rsidR="002F7A66" w:rsidRPr="00FE223D">
        <w:rPr>
          <w:rFonts w:ascii="Sylfaen" w:hAnsi="Sylfaen"/>
          <w:lang w:val="ka-GE"/>
        </w:rPr>
        <w:t>მოხდებოდა.</w:t>
      </w:r>
    </w:p>
    <w:p w14:paraId="3BCD992C" w14:textId="02009D6F" w:rsidR="0039761A" w:rsidRPr="00FE223D" w:rsidRDefault="00F0037F" w:rsidP="00CD587C">
      <w:pPr>
        <w:pStyle w:val="SingleTxtG"/>
        <w:rPr>
          <w:rFonts w:ascii="Sylfaen" w:hAnsi="Sylfaen"/>
          <w:lang w:val="ka-GE"/>
        </w:rPr>
      </w:pPr>
      <w:r w:rsidRPr="00FE223D">
        <w:rPr>
          <w:rFonts w:ascii="Sylfaen" w:hAnsi="Sylfaen"/>
        </w:rPr>
        <w:lastRenderedPageBreak/>
        <w:t>5.5</w:t>
      </w:r>
      <w:r w:rsidRPr="00FE223D">
        <w:rPr>
          <w:rFonts w:ascii="Sylfaen" w:hAnsi="Sylfaen"/>
        </w:rPr>
        <w:tab/>
      </w:r>
      <w:r w:rsidR="0039761A" w:rsidRPr="00FE223D">
        <w:rPr>
          <w:rFonts w:ascii="Sylfaen" w:hAnsi="Sylfaen"/>
          <w:lang w:val="ka-GE"/>
        </w:rPr>
        <w:t>რაც შეეხება სახელმწიფო მხარის არგუმენტებს შეტყობინების დასაშვებობასთან დაკავშირებით, ავტორი იმეორებს, რომ მან უნივერსიტეტის გადაწყვეტილება დასაქმების პროცედურის შეწყვეტის შესახებ არ გაასაჩივრა.</w:t>
      </w:r>
      <w:r w:rsidR="00CD587C" w:rsidRPr="00FE223D">
        <w:rPr>
          <w:rFonts w:ascii="Sylfaen" w:hAnsi="Sylfaen"/>
          <w:lang w:val="ka-GE"/>
        </w:rPr>
        <w:t xml:space="preserve"> თუმცა ადმინისტრაციული სასამართლოები არ არიან უფლებამოსილნი, უნივერსიტეტს</w:t>
      </w:r>
      <w:r w:rsidR="003A5534" w:rsidRPr="00FE223D">
        <w:rPr>
          <w:rFonts w:ascii="Sylfaen" w:hAnsi="Sylfaen"/>
          <w:lang w:val="ka-GE"/>
        </w:rPr>
        <w:t xml:space="preserve"> </w:t>
      </w:r>
      <w:r w:rsidR="00CD587C" w:rsidRPr="00FE223D">
        <w:rPr>
          <w:rFonts w:ascii="Sylfaen" w:hAnsi="Sylfaen"/>
          <w:lang w:val="ka-GE"/>
        </w:rPr>
        <w:t xml:space="preserve">ავტორის დასაქმება </w:t>
      </w:r>
      <w:r w:rsidR="002F7A66" w:rsidRPr="00FE223D">
        <w:rPr>
          <w:rFonts w:ascii="Sylfaen" w:hAnsi="Sylfaen"/>
          <w:lang w:val="ka-GE"/>
        </w:rPr>
        <w:t xml:space="preserve"> დაავალონ </w:t>
      </w:r>
      <w:r w:rsidR="00CD587C" w:rsidRPr="00FE223D">
        <w:rPr>
          <w:rFonts w:ascii="Sylfaen" w:hAnsi="Sylfaen"/>
          <w:lang w:val="ka-GE"/>
        </w:rPr>
        <w:t xml:space="preserve">ან უკანონო დისკრიმინაციისთვის კომპენსაცია დააკისრონ. ამის ნაცვლად, როგორც სახელმწიფო მხარემ შენიშნა, ადმინისტრაციულ სასამართლოს რეკრუტირების პროცედურის შეწყვეტის შესახებ გადაწყვეტილების გაუქმება შეეძლო. </w:t>
      </w:r>
    </w:p>
    <w:p w14:paraId="18F4031C" w14:textId="761EC28A" w:rsidR="00907A59" w:rsidRPr="00FE223D" w:rsidRDefault="00F0037F" w:rsidP="00F0037F">
      <w:pPr>
        <w:pStyle w:val="SingleTxtG"/>
        <w:rPr>
          <w:rFonts w:ascii="Sylfaen" w:hAnsi="Sylfaen"/>
          <w:lang w:val="ka-GE"/>
        </w:rPr>
      </w:pPr>
      <w:r w:rsidRPr="00FE223D">
        <w:rPr>
          <w:rFonts w:ascii="Sylfaen" w:hAnsi="Sylfaen"/>
        </w:rPr>
        <w:t>5.6</w:t>
      </w:r>
      <w:r w:rsidRPr="00FE223D">
        <w:rPr>
          <w:rFonts w:ascii="Sylfaen" w:hAnsi="Sylfaen"/>
        </w:rPr>
        <w:tab/>
      </w:r>
      <w:r w:rsidR="00907A59" w:rsidRPr="00FE223D">
        <w:rPr>
          <w:rFonts w:ascii="Sylfaen" w:hAnsi="Sylfaen"/>
          <w:lang w:val="ka-GE"/>
        </w:rPr>
        <w:t>ამასთან დაკავშირებით, ავტორი ამტკიცებს, რომ ადმიანის უფლებათა ევროპული სასამართლოს იურისპუდენციის შესაბამისად, ის ვალდებული იყო მხოლოდ „ერთ-ერთი პარალელური სამართლებრივი საშუალება“</w:t>
      </w:r>
      <w:r w:rsidR="00907A59" w:rsidRPr="00FE223D">
        <w:rPr>
          <w:rStyle w:val="FootnoteReference"/>
          <w:rFonts w:ascii="Sylfaen" w:hAnsi="Sylfaen"/>
        </w:rPr>
        <w:footnoteReference w:id="25"/>
      </w:r>
      <w:r w:rsidR="00907A59" w:rsidRPr="00FE223D">
        <w:rPr>
          <w:rFonts w:ascii="Sylfaen" w:hAnsi="Sylfaen"/>
          <w:lang w:val="ka-GE"/>
        </w:rPr>
        <w:t xml:space="preserve"> ამოეწურა. მათგან ავტორმა უნივერსიტეტის წინააღმდეგ სამოქალაქო სარჩელი აირჩია. </w:t>
      </w:r>
      <w:r w:rsidR="00EC1376" w:rsidRPr="00FE223D">
        <w:rPr>
          <w:rFonts w:ascii="Sylfaen" w:hAnsi="Sylfaen"/>
          <w:lang w:val="ka-GE"/>
        </w:rPr>
        <w:t xml:space="preserve">ავტორი მიიჩნევს, რომ იმის მოლოდინი, რომ ის ერთმანეთის პარალელურად ყველა სამართლებრივ საშუალებას ამოწურავდა, არარეალურია. </w:t>
      </w:r>
      <w:r w:rsidR="007314CC" w:rsidRPr="00FE223D">
        <w:rPr>
          <w:rFonts w:ascii="Sylfaen" w:hAnsi="Sylfaen"/>
          <w:lang w:val="ka-GE"/>
        </w:rPr>
        <w:t>შრომის სასამართლოში სარჩელის შეტანა</w:t>
      </w:r>
      <w:r w:rsidR="003A5534" w:rsidRPr="00FE223D">
        <w:rPr>
          <w:rFonts w:ascii="Sylfaen" w:hAnsi="Sylfaen"/>
          <w:lang w:val="ka-GE"/>
        </w:rPr>
        <w:t xml:space="preserve">, </w:t>
      </w:r>
      <w:r w:rsidR="003A5534" w:rsidRPr="00FE223D">
        <w:rPr>
          <w:rFonts w:ascii="Sylfaen" w:hAnsi="Sylfaen"/>
          <w:lang w:val="ka-GE"/>
        </w:rPr>
        <w:t>კომიტეტისთვის შემდგომი მიმართვისთვის</w:t>
      </w:r>
      <w:r w:rsidR="003A5534" w:rsidRPr="00FE223D">
        <w:rPr>
          <w:rFonts w:ascii="Sylfaen" w:hAnsi="Sylfaen"/>
          <w:lang w:val="ka-GE"/>
        </w:rPr>
        <w:t>,</w:t>
      </w:r>
      <w:r w:rsidR="007314CC" w:rsidRPr="00FE223D">
        <w:rPr>
          <w:rFonts w:ascii="Sylfaen" w:hAnsi="Sylfaen"/>
          <w:lang w:val="ka-GE"/>
        </w:rPr>
        <w:t xml:space="preserve"> საკმარისი სამართლებრივი საშუალება იყო. გარდა ამისა, ავტორი ამტკიცებს, რომ </w:t>
      </w:r>
      <w:r w:rsidR="00F9404E" w:rsidRPr="00FE223D">
        <w:rPr>
          <w:rFonts w:ascii="Sylfaen" w:hAnsi="Sylfaen"/>
          <w:lang w:val="ka-GE"/>
        </w:rPr>
        <w:t>მას საკითხი მხოლოდ არსებითად უნდა დაეყენებინა და არა კონვენციის ზუსტ იურიდიულ კვალიფიკაციაში</w:t>
      </w:r>
      <w:r w:rsidR="00F9404E" w:rsidRPr="00FE223D">
        <w:rPr>
          <w:rStyle w:val="FootnoteReference"/>
          <w:rFonts w:ascii="Sylfaen" w:hAnsi="Sylfaen"/>
        </w:rPr>
        <w:footnoteReference w:id="26"/>
      </w:r>
      <w:r w:rsidR="00F9404E" w:rsidRPr="00FE223D">
        <w:rPr>
          <w:rFonts w:ascii="Sylfaen" w:hAnsi="Sylfaen"/>
          <w:lang w:val="ka-GE"/>
        </w:rPr>
        <w:t xml:space="preserve">. შვედეთში არსებობს Jura novit curia-ს პრინციპი, როგორც ასახულია უზენაესი სასამართლოს გადაწყვეტილებაში </w:t>
      </w:r>
      <w:r w:rsidR="00F9404E" w:rsidRPr="00FE223D">
        <w:rPr>
          <w:rFonts w:ascii="Sylfaen" w:hAnsi="Sylfaen"/>
        </w:rPr>
        <w:t>NJA 1993</w:t>
      </w:r>
      <w:r w:rsidR="00F9404E" w:rsidRPr="00FE223D">
        <w:rPr>
          <w:rFonts w:ascii="Sylfaen" w:hAnsi="Sylfaen"/>
          <w:lang w:val="ka-GE"/>
        </w:rPr>
        <w:t>, პუნქტი</w:t>
      </w:r>
      <w:r w:rsidR="00F9404E" w:rsidRPr="00FE223D">
        <w:rPr>
          <w:rFonts w:ascii="Sylfaen" w:hAnsi="Sylfaen"/>
        </w:rPr>
        <w:t> 13</w:t>
      </w:r>
      <w:r w:rsidR="00F9404E" w:rsidRPr="00FE223D">
        <w:rPr>
          <w:rFonts w:ascii="Sylfaen" w:hAnsi="Sylfaen"/>
          <w:lang w:val="ka-GE"/>
        </w:rPr>
        <w:t xml:space="preserve">, </w:t>
      </w:r>
      <w:r w:rsidR="00A515EA" w:rsidRPr="00FE223D">
        <w:rPr>
          <w:rFonts w:ascii="Sylfaen" w:hAnsi="Sylfaen"/>
          <w:lang w:val="ka-GE"/>
        </w:rPr>
        <w:t>სადაც მან დაადგინა, რომ სასამართლოები არ იზღუდებიან მონაწილე მხარეების მიერ წარმოდგენილი ფაქტების სამართლებრივი კვალიფიკაციით. ავტორი მიიჩნევს, რომ შრომის სასამართლომ საკუთარ გადაწყვეტილებაში საქმის ფაქტებს</w:t>
      </w:r>
      <w:r w:rsidR="003A5534" w:rsidRPr="00FE223D">
        <w:rPr>
          <w:rFonts w:ascii="Sylfaen" w:hAnsi="Sylfaen"/>
          <w:lang w:val="ka-GE"/>
        </w:rPr>
        <w:t>,</w:t>
      </w:r>
      <w:r w:rsidR="00A515EA" w:rsidRPr="00FE223D">
        <w:rPr>
          <w:rFonts w:ascii="Sylfaen" w:hAnsi="Sylfaen"/>
          <w:lang w:val="ka-GE"/>
        </w:rPr>
        <w:t xml:space="preserve"> </w:t>
      </w:r>
      <w:r w:rsidR="003A5534" w:rsidRPr="00FE223D">
        <w:rPr>
          <w:rFonts w:ascii="Sylfaen" w:hAnsi="Sylfaen"/>
          <w:lang w:val="ka-GE"/>
        </w:rPr>
        <w:t>შვედეთის კანონმდებლობის შესაბამისად,</w:t>
      </w:r>
      <w:r w:rsidR="003A5534" w:rsidRPr="00FE223D">
        <w:rPr>
          <w:rFonts w:ascii="Sylfaen" w:hAnsi="Sylfaen"/>
          <w:lang w:val="ka-GE"/>
        </w:rPr>
        <w:t xml:space="preserve"> </w:t>
      </w:r>
      <w:r w:rsidR="00A515EA" w:rsidRPr="00FE223D">
        <w:rPr>
          <w:rFonts w:ascii="Sylfaen" w:hAnsi="Sylfaen"/>
          <w:lang w:val="ka-GE"/>
        </w:rPr>
        <w:t>იურიდიული კვალიფიკაცია მი</w:t>
      </w:r>
      <w:r w:rsidR="003A5534" w:rsidRPr="00FE223D">
        <w:rPr>
          <w:rFonts w:ascii="Sylfaen" w:hAnsi="Sylfaen"/>
          <w:lang w:val="ka-GE"/>
        </w:rPr>
        <w:t>ანიჭა</w:t>
      </w:r>
      <w:r w:rsidR="00A515EA" w:rsidRPr="00FE223D">
        <w:rPr>
          <w:rFonts w:ascii="Sylfaen" w:hAnsi="Sylfaen"/>
          <w:lang w:val="ka-GE"/>
        </w:rPr>
        <w:t xml:space="preserve">,  რომლის შედეგადაც ავტორმა არსებული ადგილობრივი სამართლებრივი საშუალებები ამოწურა. </w:t>
      </w:r>
    </w:p>
    <w:p w14:paraId="6E6008A6" w14:textId="60769A40" w:rsidR="006D6704" w:rsidRPr="00FE223D" w:rsidRDefault="00F0037F" w:rsidP="00417124">
      <w:pPr>
        <w:pStyle w:val="SingleTxtG"/>
        <w:rPr>
          <w:rFonts w:ascii="Sylfaen" w:hAnsi="Sylfaen"/>
          <w:lang w:val="ka-GE"/>
        </w:rPr>
      </w:pPr>
      <w:r w:rsidRPr="00FE223D">
        <w:rPr>
          <w:rFonts w:ascii="Sylfaen" w:hAnsi="Sylfaen"/>
        </w:rPr>
        <w:t>5.7</w:t>
      </w:r>
      <w:r w:rsidRPr="00FE223D">
        <w:rPr>
          <w:rFonts w:ascii="Sylfaen" w:hAnsi="Sylfaen"/>
        </w:rPr>
        <w:tab/>
      </w:r>
      <w:r w:rsidR="00D35C08" w:rsidRPr="00FE223D">
        <w:rPr>
          <w:rFonts w:ascii="Sylfaen" w:hAnsi="Sylfaen"/>
          <w:lang w:val="ka-GE"/>
        </w:rPr>
        <w:t xml:space="preserve">რაც შეეხება სახელმწიფო მხარის არგუმენტს, რომ შეტყობინების ის ნაწილი მაინც, რომელიც გონივრული მისადაგების ღონისძიებების </w:t>
      </w:r>
      <w:r w:rsidR="003A5534" w:rsidRPr="00FE223D">
        <w:rPr>
          <w:rFonts w:ascii="Sylfaen" w:hAnsi="Sylfaen"/>
          <w:lang w:val="ka-GE"/>
        </w:rPr>
        <w:t xml:space="preserve">არასაკმარის </w:t>
      </w:r>
      <w:r w:rsidR="00D35C08" w:rsidRPr="00FE223D">
        <w:rPr>
          <w:rFonts w:ascii="Sylfaen" w:hAnsi="Sylfaen"/>
          <w:lang w:val="ka-GE"/>
        </w:rPr>
        <w:t>შესწავლ</w:t>
      </w:r>
      <w:r w:rsidR="003A5534" w:rsidRPr="00FE223D">
        <w:rPr>
          <w:rFonts w:ascii="Sylfaen" w:hAnsi="Sylfaen"/>
          <w:lang w:val="ka-GE"/>
        </w:rPr>
        <w:t>ას</w:t>
      </w:r>
      <w:r w:rsidR="00D35C08" w:rsidRPr="00FE223D">
        <w:rPr>
          <w:rFonts w:ascii="Sylfaen" w:hAnsi="Sylfaen"/>
          <w:lang w:val="ka-GE"/>
        </w:rPr>
        <w:t xml:space="preserve"> შეეხება, </w:t>
      </w:r>
      <w:r w:rsidR="009927F0" w:rsidRPr="00FE223D">
        <w:rPr>
          <w:rFonts w:ascii="Sylfaen" w:hAnsi="Sylfaen"/>
          <w:lang w:val="ka-GE"/>
        </w:rPr>
        <w:t>დაუშვებლად უნდა გამოცხადდეს, ავტორი თანხმდება, რომ შრომის სასამართლოში სამართალწარმოება ამ საკითხზე არ ფოკუსირდებოდა. შრომის სასამართლომ გარემოებების დამოუკიდებლად შეფასება</w:t>
      </w:r>
      <w:r w:rsidR="003A5534" w:rsidRPr="00FE223D">
        <w:rPr>
          <w:rFonts w:ascii="Sylfaen" w:hAnsi="Sylfaen"/>
          <w:lang w:val="ka-GE"/>
        </w:rPr>
        <w:t xml:space="preserve"> </w:t>
      </w:r>
      <w:r w:rsidR="003A5534" w:rsidRPr="00FE223D">
        <w:rPr>
          <w:rFonts w:ascii="Sylfaen" w:hAnsi="Sylfaen"/>
          <w:lang w:val="ka-GE"/>
        </w:rPr>
        <w:t>შეძლო</w:t>
      </w:r>
      <w:r w:rsidR="009927F0" w:rsidRPr="00FE223D">
        <w:rPr>
          <w:rFonts w:ascii="Sylfaen" w:hAnsi="Sylfaen"/>
          <w:lang w:val="ka-GE"/>
        </w:rPr>
        <w:t>, პროცესის მხარეთა სამართლებრივი კვალიფიკაციის მიუხედავად, განსაკუთრებით</w:t>
      </w:r>
      <w:r w:rsidR="003A5534" w:rsidRPr="00FE223D">
        <w:rPr>
          <w:rFonts w:ascii="Sylfaen" w:hAnsi="Sylfaen"/>
          <w:lang w:val="ka-GE"/>
        </w:rPr>
        <w:t>,</w:t>
      </w:r>
      <w:r w:rsidR="009927F0" w:rsidRPr="00FE223D">
        <w:rPr>
          <w:rFonts w:ascii="Sylfaen" w:hAnsi="Sylfaen"/>
          <w:lang w:val="ka-GE"/>
        </w:rPr>
        <w:t xml:space="preserve"> იმის გათვალისწინებით, რომ </w:t>
      </w:r>
      <w:r w:rsidR="003A5534" w:rsidRPr="00FE223D">
        <w:rPr>
          <w:rFonts w:ascii="Sylfaen" w:hAnsi="Sylfaen"/>
          <w:lang w:val="ka-GE"/>
        </w:rPr>
        <w:t xml:space="preserve">არასაკმარისი </w:t>
      </w:r>
      <w:r w:rsidR="009927F0" w:rsidRPr="00FE223D">
        <w:rPr>
          <w:rFonts w:ascii="Sylfaen" w:hAnsi="Sylfaen"/>
          <w:lang w:val="ka-GE"/>
        </w:rPr>
        <w:t>შესწავლ</w:t>
      </w:r>
      <w:r w:rsidR="003A5534" w:rsidRPr="00FE223D">
        <w:rPr>
          <w:rFonts w:ascii="Sylfaen" w:hAnsi="Sylfaen"/>
          <w:lang w:val="ka-GE"/>
        </w:rPr>
        <w:t>ა</w:t>
      </w:r>
      <w:r w:rsidR="009927F0" w:rsidRPr="00FE223D">
        <w:rPr>
          <w:rFonts w:ascii="Sylfaen" w:hAnsi="Sylfaen"/>
          <w:lang w:val="ka-GE"/>
        </w:rPr>
        <w:t xml:space="preserve"> ყურადღების ცენტრში თანასწორობის </w:t>
      </w:r>
      <w:r w:rsidR="00440EF1" w:rsidRPr="00FE223D">
        <w:rPr>
          <w:rFonts w:ascii="Sylfaen" w:hAnsi="Sylfaen"/>
          <w:lang w:val="ka-GE"/>
        </w:rPr>
        <w:t>ომბუდსმე</w:t>
      </w:r>
      <w:r w:rsidR="009927F0" w:rsidRPr="00FE223D">
        <w:rPr>
          <w:rFonts w:ascii="Sylfaen" w:hAnsi="Sylfaen"/>
          <w:lang w:val="ka-GE"/>
        </w:rPr>
        <w:t>ნის მიმოწერის</w:t>
      </w:r>
      <w:r w:rsidR="00D979D6" w:rsidRPr="00FE223D">
        <w:rPr>
          <w:rFonts w:ascii="Sylfaen" w:hAnsi="Sylfaen"/>
          <w:lang w:val="ka-GE"/>
        </w:rPr>
        <w:t>ა და შრომის სასამართლო პროცესის მეშვეობით</w:t>
      </w:r>
      <w:r w:rsidR="003A5534" w:rsidRPr="00FE223D">
        <w:rPr>
          <w:rFonts w:ascii="Sylfaen" w:hAnsi="Sylfaen"/>
          <w:lang w:val="ka-GE"/>
        </w:rPr>
        <w:t xml:space="preserve"> </w:t>
      </w:r>
      <w:r w:rsidR="003A5534" w:rsidRPr="00FE223D">
        <w:rPr>
          <w:rFonts w:ascii="Sylfaen" w:hAnsi="Sylfaen"/>
          <w:lang w:val="ka-GE"/>
        </w:rPr>
        <w:t>მოექცა</w:t>
      </w:r>
      <w:r w:rsidR="00D979D6" w:rsidRPr="00FE223D">
        <w:rPr>
          <w:rFonts w:ascii="Sylfaen" w:hAnsi="Sylfaen"/>
          <w:lang w:val="ka-GE"/>
        </w:rPr>
        <w:t xml:space="preserve">. ამიტომ, გონივრული მისადაგების ღონისძიებების </w:t>
      </w:r>
      <w:r w:rsidR="003A5534" w:rsidRPr="00FE223D">
        <w:rPr>
          <w:rFonts w:ascii="Sylfaen" w:hAnsi="Sylfaen"/>
          <w:lang w:val="ka-GE"/>
        </w:rPr>
        <w:t xml:space="preserve">არასაკმარის </w:t>
      </w:r>
      <w:r w:rsidR="00D979D6" w:rsidRPr="00FE223D">
        <w:rPr>
          <w:rFonts w:ascii="Sylfaen" w:hAnsi="Sylfaen"/>
          <w:lang w:val="ka-GE"/>
        </w:rPr>
        <w:t>შესწავლ</w:t>
      </w:r>
      <w:r w:rsidR="003A5534" w:rsidRPr="00FE223D">
        <w:rPr>
          <w:rFonts w:ascii="Sylfaen" w:hAnsi="Sylfaen"/>
          <w:lang w:val="ka-GE"/>
        </w:rPr>
        <w:t>ასთან</w:t>
      </w:r>
      <w:r w:rsidR="00D979D6" w:rsidRPr="00FE223D">
        <w:rPr>
          <w:rFonts w:ascii="Sylfaen" w:hAnsi="Sylfaen"/>
          <w:lang w:val="ka-GE"/>
        </w:rPr>
        <w:t xml:space="preserve"> დაკავშირებით </w:t>
      </w:r>
      <w:r w:rsidR="003A5534" w:rsidRPr="00FE223D">
        <w:rPr>
          <w:rFonts w:ascii="Sylfaen" w:hAnsi="Sylfaen"/>
          <w:lang w:val="ka-GE"/>
        </w:rPr>
        <w:t xml:space="preserve">ავტორის ბრალდებები </w:t>
      </w:r>
      <w:r w:rsidR="00D979D6" w:rsidRPr="00FE223D">
        <w:rPr>
          <w:rFonts w:ascii="Sylfaen" w:hAnsi="Sylfaen"/>
          <w:lang w:val="ka-GE"/>
        </w:rPr>
        <w:t xml:space="preserve">დასაშვებად უნდა გამოცხადდეს. </w:t>
      </w:r>
    </w:p>
    <w:p w14:paraId="0284F569" w14:textId="750FCFCB" w:rsidR="002A78E3" w:rsidRPr="00FE223D" w:rsidRDefault="00425A26" w:rsidP="002A78E3">
      <w:pPr>
        <w:pStyle w:val="SingleTxtG"/>
        <w:rPr>
          <w:rFonts w:ascii="Sylfaen" w:hAnsi="Sylfaen"/>
          <w:lang w:val="ka-GE"/>
        </w:rPr>
      </w:pPr>
      <w:r w:rsidRPr="00FE223D">
        <w:rPr>
          <w:rFonts w:ascii="Sylfaen" w:hAnsi="Sylfaen"/>
        </w:rPr>
        <w:t>5.8</w:t>
      </w:r>
      <w:r w:rsidR="00F0037F" w:rsidRPr="00FE223D">
        <w:rPr>
          <w:rFonts w:ascii="Sylfaen" w:hAnsi="Sylfaen"/>
        </w:rPr>
        <w:tab/>
      </w:r>
      <w:r w:rsidR="00D979D6" w:rsidRPr="00FE223D">
        <w:rPr>
          <w:rFonts w:ascii="Sylfaen" w:hAnsi="Sylfaen"/>
          <w:lang w:val="ka-GE"/>
        </w:rPr>
        <w:t xml:space="preserve">ავტორი ასევე მიიჩნევს, რომ მისი საქმე განსხვავებულია საქმისგან დ.ლ. შვედეთის წინააღმდეგ, იმის გამო, რომ მან ამოწურა სამოქალაქო სამართალწარმოების ადგილობრივი რესურსები. ის ამტკიცებს, რომ სამოქალაქო სამართალწარმოების ადგილობრივი რესურსების არარსებობისა და თანასწორობის </w:t>
      </w:r>
      <w:r w:rsidR="00440EF1" w:rsidRPr="00FE223D">
        <w:rPr>
          <w:rFonts w:ascii="Sylfaen" w:hAnsi="Sylfaen"/>
          <w:lang w:val="ka-GE"/>
        </w:rPr>
        <w:t>ომბუდსმე</w:t>
      </w:r>
      <w:r w:rsidR="00D979D6" w:rsidRPr="00FE223D">
        <w:rPr>
          <w:rFonts w:ascii="Sylfaen" w:hAnsi="Sylfaen"/>
          <w:lang w:val="ka-GE"/>
        </w:rPr>
        <w:t xml:space="preserve">ნის მიერ უზენაეს ადმინისტრაციულ სასამართლოში გასაჩივრებაზე დათანხმების შემთხვევაში, ის, სავარაუდოდ, </w:t>
      </w:r>
      <w:r w:rsidR="00530FC1" w:rsidRPr="00FE223D">
        <w:rPr>
          <w:rFonts w:ascii="Sylfaen" w:hAnsi="Sylfaen"/>
          <w:lang w:val="ka-GE"/>
        </w:rPr>
        <w:t xml:space="preserve">გადაწყვეტილებას გაასაჩივრებდა. თუმცა, სავარაუდოდ, ამ საქმის გასაჩივრება შედეგს არ მოიტანდა. </w:t>
      </w:r>
    </w:p>
    <w:p w14:paraId="42E5B81A" w14:textId="57B221D6" w:rsidR="00530FC1" w:rsidRPr="00FE223D" w:rsidRDefault="00425A26" w:rsidP="002A78E3">
      <w:pPr>
        <w:pStyle w:val="SingleTxtG"/>
        <w:rPr>
          <w:rFonts w:ascii="Sylfaen" w:hAnsi="Sylfaen"/>
          <w:lang w:val="ka-GE"/>
        </w:rPr>
      </w:pPr>
      <w:r w:rsidRPr="00FE223D">
        <w:rPr>
          <w:rFonts w:ascii="Sylfaen" w:hAnsi="Sylfaen"/>
        </w:rPr>
        <w:t>5.9</w:t>
      </w:r>
      <w:r w:rsidR="00F0037F" w:rsidRPr="00FE223D">
        <w:rPr>
          <w:rFonts w:ascii="Sylfaen" w:hAnsi="Sylfaen"/>
        </w:rPr>
        <w:tab/>
      </w:r>
      <w:r w:rsidR="00D65F0C" w:rsidRPr="00FE223D">
        <w:rPr>
          <w:rFonts w:ascii="Sylfaen" w:hAnsi="Sylfaen"/>
          <w:lang w:val="ka-GE"/>
        </w:rPr>
        <w:t xml:space="preserve">რაც შეეხება სახელმწიფო მხარის არგუმენტს, რომელიც დაკავშირებულია შეფასების ფართო ზღვართან, ავტორი ეჭვქვეშ არ აყენებს ამ პრინციპის ზოგად </w:t>
      </w:r>
      <w:r w:rsidR="002B7B6F" w:rsidRPr="00FE223D">
        <w:rPr>
          <w:rFonts w:ascii="Sylfaen" w:hAnsi="Sylfaen"/>
          <w:lang w:val="ka-GE"/>
        </w:rPr>
        <w:t>არსებით მხარეს</w:t>
      </w:r>
      <w:r w:rsidR="00D65F0C" w:rsidRPr="00FE223D">
        <w:rPr>
          <w:rFonts w:ascii="Sylfaen" w:hAnsi="Sylfaen"/>
          <w:lang w:val="ka-GE"/>
        </w:rPr>
        <w:t xml:space="preserve">. </w:t>
      </w:r>
      <w:r w:rsidR="00B4408E" w:rsidRPr="00FE223D">
        <w:rPr>
          <w:rFonts w:ascii="Sylfaen" w:hAnsi="Sylfaen"/>
          <w:lang w:val="ka-GE"/>
        </w:rPr>
        <w:t xml:space="preserve">თუმცა ეს ზღვარი, შესაძლოა, სახელმწიფოს არ მიენიჭოს, </w:t>
      </w:r>
      <w:r w:rsidR="00B4408E" w:rsidRPr="00FE223D">
        <w:rPr>
          <w:rFonts w:ascii="Sylfaen" w:hAnsi="Sylfaen"/>
          <w:lang w:val="ka-GE"/>
        </w:rPr>
        <w:lastRenderedPageBreak/>
        <w:t>რადგან ეს გამოი</w:t>
      </w:r>
      <w:r w:rsidR="008A217B" w:rsidRPr="00FE223D">
        <w:rPr>
          <w:rFonts w:ascii="Sylfaen" w:hAnsi="Sylfaen"/>
          <w:lang w:val="ka-GE"/>
        </w:rPr>
        <w:t>წ</w:t>
      </w:r>
      <w:r w:rsidR="00B4408E" w:rsidRPr="00FE223D">
        <w:rPr>
          <w:rFonts w:ascii="Sylfaen" w:hAnsi="Sylfaen"/>
          <w:lang w:val="ka-GE"/>
        </w:rPr>
        <w:t>ვევდა კონვენციით გათვალისწინებული უფლებების სისტემატურ დარღვევას. ავტორი მიუთითებს კომიტეტის მე-6 ზოგად კომენტარზე, რომლის მიხედვითაც, დისკრიმინაციის წინააღმდეგ ბრძოლა</w:t>
      </w:r>
      <w:r w:rsidR="008A217B" w:rsidRPr="00FE223D">
        <w:rPr>
          <w:rFonts w:ascii="Sylfaen" w:hAnsi="Sylfaen"/>
          <w:lang w:val="ka-GE"/>
        </w:rPr>
        <w:t xml:space="preserve"> </w:t>
      </w:r>
      <w:r w:rsidR="008A217B" w:rsidRPr="00FE223D">
        <w:rPr>
          <w:rFonts w:ascii="Sylfaen" w:hAnsi="Sylfaen"/>
          <w:lang w:val="ka-GE"/>
        </w:rPr>
        <w:t>მოითხოვს</w:t>
      </w:r>
      <w:r w:rsidR="00B4408E" w:rsidRPr="00FE223D">
        <w:rPr>
          <w:rFonts w:ascii="Sylfaen" w:hAnsi="Sylfaen"/>
          <w:lang w:val="ka-GE"/>
        </w:rPr>
        <w:t xml:space="preserve"> „დაუყოვნებლივი განხორციელების ჯვარედინ ვალდებულებებს. ისინი არ ექვემდებარება პროგრესულ რეალიზაციას.“ დასაქმების პროცესში გონივრული მისადაგებისა და დისკრიმინაციის დაუშვებლობის უზრუნველყოფა </w:t>
      </w:r>
      <w:r w:rsidR="002A78E3" w:rsidRPr="00FE223D">
        <w:rPr>
          <w:rFonts w:ascii="Sylfaen" w:hAnsi="Sylfaen"/>
          <w:lang w:val="ka-GE"/>
        </w:rPr>
        <w:t>არ შეიძლება ექვემდებარებოდეს სახელმწიფო დისკრეციის ფართო ზღვ</w:t>
      </w:r>
      <w:r w:rsidR="008A217B" w:rsidRPr="00FE223D">
        <w:rPr>
          <w:rFonts w:ascii="Sylfaen" w:hAnsi="Sylfaen"/>
          <w:lang w:val="ka-GE"/>
        </w:rPr>
        <w:t>ა</w:t>
      </w:r>
      <w:r w:rsidR="002A78E3" w:rsidRPr="00FE223D">
        <w:rPr>
          <w:rFonts w:ascii="Sylfaen" w:hAnsi="Sylfaen"/>
          <w:lang w:val="ka-GE"/>
        </w:rPr>
        <w:t xml:space="preserve">რს და ავტორის უფლებების დარღვევის თავიდან ასაცილებლად, დაუყოვნებლივ უნდა განხორციელებულიყო. </w:t>
      </w:r>
    </w:p>
    <w:p w14:paraId="4FAB45A7" w14:textId="018A8B51" w:rsidR="000E289F" w:rsidRPr="00FE223D" w:rsidRDefault="00425A26" w:rsidP="00417124">
      <w:pPr>
        <w:pStyle w:val="SingleTxtG"/>
        <w:rPr>
          <w:rFonts w:ascii="Sylfaen" w:hAnsi="Sylfaen"/>
          <w:lang w:val="ka-GE"/>
        </w:rPr>
      </w:pPr>
      <w:r w:rsidRPr="00FE223D">
        <w:rPr>
          <w:rFonts w:ascii="Sylfaen" w:hAnsi="Sylfaen"/>
        </w:rPr>
        <w:t>5.10</w:t>
      </w:r>
      <w:r w:rsidR="00F0037F" w:rsidRPr="00FE223D">
        <w:rPr>
          <w:rFonts w:ascii="Sylfaen" w:hAnsi="Sylfaen"/>
        </w:rPr>
        <w:tab/>
      </w:r>
      <w:r w:rsidR="000E289F" w:rsidRPr="00FE223D">
        <w:rPr>
          <w:rFonts w:ascii="Sylfaen" w:hAnsi="Sylfaen"/>
          <w:lang w:val="ka-GE"/>
        </w:rPr>
        <w:t>კომიტეტის იურისპუდენციაზე დაყრდნობით, ავტორი მიიჩნევს, რომ მის საქმესთან დაკავშირებით გამართული მოლაპარაკებები გონივრული მისადაგების შესახებ კონვენციის სტანდარტებს არ შეესაბამება. მას არ</w:t>
      </w:r>
      <w:r w:rsidR="00767B72" w:rsidRPr="00FE223D">
        <w:rPr>
          <w:rFonts w:ascii="Sylfaen" w:hAnsi="Sylfaen"/>
          <w:lang w:val="ka-GE"/>
        </w:rPr>
        <w:t xml:space="preserve"> ჰქონდა საკუთარი დამოკიდებულების დაფიქსირების საშუალება ალტერნატიულ მისადაგებასთან დაკავშირებით, რამდენადაც </w:t>
      </w:r>
      <w:r w:rsidR="008A217B" w:rsidRPr="00FE223D">
        <w:rPr>
          <w:rFonts w:ascii="Sylfaen" w:hAnsi="Sylfaen"/>
          <w:lang w:val="ka-GE"/>
        </w:rPr>
        <w:t xml:space="preserve">რეკრუტირების </w:t>
      </w:r>
      <w:r w:rsidR="00767B72" w:rsidRPr="00FE223D">
        <w:rPr>
          <w:rFonts w:ascii="Sylfaen" w:hAnsi="Sylfaen"/>
          <w:lang w:val="ka-GE"/>
        </w:rPr>
        <w:t xml:space="preserve">პროცედურა აშკარად ჟესტური ენის თარჯიმნის აუცილებლობაზე იყო ორიენტირებული, როგორც ერთადერთ სათანადო და გონივრულ მისადაგებაზე, რაც მოგვიანებით დამსაქმებელმა უარყო. ავტორი მიიჩნევს, რომ უნივერსიტეტს მასთან მოლაპარაკებები უნდა გაეგრძელებინა. </w:t>
      </w:r>
    </w:p>
    <w:p w14:paraId="08CDD4A0" w14:textId="42A1A257" w:rsidR="00767B72" w:rsidRPr="00FE223D" w:rsidRDefault="00425A26" w:rsidP="007B7C08">
      <w:pPr>
        <w:pStyle w:val="SingleTxtG"/>
        <w:rPr>
          <w:rFonts w:ascii="Sylfaen" w:hAnsi="Sylfaen"/>
          <w:lang w:val="ka-GE"/>
        </w:rPr>
      </w:pPr>
      <w:r w:rsidRPr="00FE223D">
        <w:rPr>
          <w:rFonts w:ascii="Sylfaen" w:hAnsi="Sylfaen"/>
        </w:rPr>
        <w:t>5.11</w:t>
      </w:r>
      <w:r w:rsidR="00F0037F" w:rsidRPr="00FE223D">
        <w:rPr>
          <w:rFonts w:ascii="Sylfaen" w:hAnsi="Sylfaen"/>
        </w:rPr>
        <w:tab/>
      </w:r>
      <w:r w:rsidR="00767B72" w:rsidRPr="00FE223D">
        <w:rPr>
          <w:rFonts w:ascii="Sylfaen" w:hAnsi="Sylfaen"/>
          <w:lang w:val="ka-GE"/>
        </w:rPr>
        <w:t>ავტორი იმეორებს, რომ შრომის სასამართლომ არ გაითვალისწინა</w:t>
      </w:r>
      <w:r w:rsidR="00027918" w:rsidRPr="00FE223D">
        <w:rPr>
          <w:rFonts w:ascii="Sylfaen" w:hAnsi="Sylfaen"/>
          <w:lang w:val="ka-GE"/>
        </w:rPr>
        <w:t xml:space="preserve"> ის პოზიტიური გავლენა, რაც სმენის არმქონე ლექტორის დაქირავებას შეიძლებოდა  სტუდენტებისა და თანამშრომლების ატიტუდებზე ჰქონოდა, მრავალფეროვნების ხელშეწყობისა და საზოგადოების შემადგენლობის ასახვის კუთხით. ასევე, ლექტორს შეუძლია შშმ ახალგაზრდებისთვის მისაბაძი მაგალითიც იყოს. შრომის სასამართლომ არ გააანალიზა </w:t>
      </w:r>
      <w:r w:rsidR="000A18AB" w:rsidRPr="00FE223D">
        <w:rPr>
          <w:rFonts w:ascii="Sylfaen" w:hAnsi="Sylfaen"/>
          <w:lang w:val="ka-GE"/>
        </w:rPr>
        <w:t>საკუთარი</w:t>
      </w:r>
      <w:r w:rsidR="00027918" w:rsidRPr="00FE223D">
        <w:rPr>
          <w:rFonts w:ascii="Sylfaen" w:hAnsi="Sylfaen"/>
          <w:lang w:val="ka-GE"/>
        </w:rPr>
        <w:t xml:space="preserve"> გადაწყვეტილების პოტენციური შედეგები ავტორისთვის და სხვა სმენის არმქონე</w:t>
      </w:r>
      <w:r w:rsidR="00A04DC9" w:rsidRPr="00FE223D">
        <w:rPr>
          <w:rFonts w:ascii="Sylfaen" w:hAnsi="Sylfaen"/>
          <w:lang w:val="ka-GE"/>
        </w:rPr>
        <w:t xml:space="preserve"> და </w:t>
      </w:r>
      <w:r w:rsidR="00027918" w:rsidRPr="00FE223D">
        <w:rPr>
          <w:rFonts w:ascii="Sylfaen" w:hAnsi="Sylfaen"/>
          <w:lang w:val="ka-GE"/>
        </w:rPr>
        <w:t xml:space="preserve">სმენადაქვეითებული </w:t>
      </w:r>
      <w:r w:rsidR="00A04DC9" w:rsidRPr="00FE223D">
        <w:rPr>
          <w:rFonts w:ascii="Sylfaen" w:hAnsi="Sylfaen"/>
          <w:lang w:val="ka-GE"/>
        </w:rPr>
        <w:t>პროფესიონალებისთვის: ეს ნიშნავს, რომ ყველა დამსაქმებელს შეუძლია ამ გადაწყვეტილებას დაეყრდნოს და სმენის არმქონე ან სმენადაქვეითებული განმცხადებლები არ დაიქირავ</w:t>
      </w:r>
      <w:r w:rsidR="000A18AB" w:rsidRPr="00FE223D">
        <w:rPr>
          <w:rFonts w:ascii="Sylfaen" w:hAnsi="Sylfaen"/>
          <w:lang w:val="ka-GE"/>
        </w:rPr>
        <w:t>ოს</w:t>
      </w:r>
      <w:r w:rsidR="00A04DC9" w:rsidRPr="00FE223D">
        <w:rPr>
          <w:rFonts w:ascii="Sylfaen" w:hAnsi="Sylfaen"/>
          <w:lang w:val="ka-GE"/>
        </w:rPr>
        <w:t xml:space="preserve"> ისეთ პოზიციებზე, რომლებიც კომუნიკაციას </w:t>
      </w:r>
      <w:r w:rsidR="001439A2" w:rsidRPr="00FE223D">
        <w:rPr>
          <w:rFonts w:ascii="Sylfaen" w:hAnsi="Sylfaen"/>
          <w:lang w:val="ka-GE"/>
        </w:rPr>
        <w:t xml:space="preserve">საჭიროებენ. </w:t>
      </w:r>
    </w:p>
    <w:p w14:paraId="11877992" w14:textId="3D13758D" w:rsidR="001439A2" w:rsidRPr="00FE223D" w:rsidRDefault="00425A26" w:rsidP="007B7C08">
      <w:pPr>
        <w:pStyle w:val="SingleTxtG"/>
        <w:rPr>
          <w:rFonts w:ascii="Sylfaen" w:hAnsi="Sylfaen"/>
          <w:lang w:val="ka-GE"/>
        </w:rPr>
      </w:pPr>
      <w:r w:rsidRPr="00FE223D">
        <w:rPr>
          <w:rFonts w:ascii="Sylfaen" w:hAnsi="Sylfaen"/>
        </w:rPr>
        <w:t>5.12</w:t>
      </w:r>
      <w:r w:rsidR="00F0037F" w:rsidRPr="00FE223D">
        <w:rPr>
          <w:rFonts w:ascii="Sylfaen" w:hAnsi="Sylfaen"/>
        </w:rPr>
        <w:tab/>
      </w:r>
      <w:r w:rsidR="001439A2" w:rsidRPr="00FE223D">
        <w:rPr>
          <w:rFonts w:ascii="Sylfaen" w:hAnsi="Sylfaen"/>
          <w:lang w:val="ka-GE"/>
        </w:rPr>
        <w:t>ის, რომ უნივერსიტეტმა ვერ შეძლო ფინანსების გამოყოფა, საქმის ერთ-ერთი მნიშვნელოვანი ასპექტია. მაგრამ ის, რომ სახელმწიფომ სახელმწიფო უნივერსიტეტში გონივრული მისადაგების პრინციპების გატარება</w:t>
      </w:r>
      <w:r w:rsidR="000A18AB" w:rsidRPr="00FE223D">
        <w:rPr>
          <w:rFonts w:ascii="Sylfaen" w:hAnsi="Sylfaen"/>
          <w:lang w:val="ka-GE"/>
        </w:rPr>
        <w:t xml:space="preserve"> </w:t>
      </w:r>
      <w:r w:rsidR="000A18AB" w:rsidRPr="00FE223D">
        <w:rPr>
          <w:rFonts w:ascii="Sylfaen" w:hAnsi="Sylfaen"/>
          <w:lang w:val="ka-GE"/>
        </w:rPr>
        <w:t>ვერ შეძლო</w:t>
      </w:r>
      <w:r w:rsidR="001439A2" w:rsidRPr="00FE223D">
        <w:rPr>
          <w:rFonts w:ascii="Sylfaen" w:hAnsi="Sylfaen"/>
          <w:lang w:val="ka-GE"/>
        </w:rPr>
        <w:t>, სამართლიანობის მნიშვნელოვანი უარყოფაა. როგორც სახელმწიფო მხარე აცხადებდა, შესაძლებელია, რომ მნიშვნელოვანი სიდიდის დაფინანსება ხელმისაწვდომი გახდეს</w:t>
      </w:r>
      <w:r w:rsidR="006F7800" w:rsidRPr="00FE223D">
        <w:rPr>
          <w:rFonts w:ascii="Sylfaen" w:hAnsi="Sylfaen"/>
          <w:lang w:val="ka-GE"/>
        </w:rPr>
        <w:t xml:space="preserve"> გონივრული მისადაგების ისეთი ღონისძიებებისთვის, როგორებიცაა ყოველდღიური თარჯიმანი და ხელფასის სუბსიდირება. თუმცა ავტორი ხაზს უსვამს, რომ ასეთი დაფინანსების მოთხოვნა არ ხდება სასამართლოში, რადგან ეს იურიდიულად აღსრულებადი აქტი არაა. ავტორმა სთხოვა უნივერსიტეტს, გონივრული მისადაგების ღონისძიებებისთვის საჭირო ხარჯების დაფარვის შესაძლებლობა</w:t>
      </w:r>
      <w:r w:rsidR="000A18AB" w:rsidRPr="00FE223D">
        <w:rPr>
          <w:rFonts w:ascii="Sylfaen" w:hAnsi="Sylfaen"/>
          <w:lang w:val="ka-GE"/>
        </w:rPr>
        <w:t xml:space="preserve"> </w:t>
      </w:r>
      <w:r w:rsidR="000A18AB" w:rsidRPr="00FE223D">
        <w:rPr>
          <w:rFonts w:ascii="Sylfaen" w:hAnsi="Sylfaen"/>
          <w:lang w:val="ka-GE"/>
        </w:rPr>
        <w:t>გარე დონორებთან გადაემოწმებინათ</w:t>
      </w:r>
      <w:r w:rsidR="006F7800" w:rsidRPr="00FE223D">
        <w:rPr>
          <w:rFonts w:ascii="Sylfaen" w:hAnsi="Sylfaen"/>
          <w:lang w:val="ka-GE"/>
        </w:rPr>
        <w:t xml:space="preserve">, თუმცა მათგან პასუხი ვერ მიიღო. </w:t>
      </w:r>
    </w:p>
    <w:p w14:paraId="57E73A6F" w14:textId="10004647" w:rsidR="00F0037F" w:rsidRPr="00FE223D" w:rsidRDefault="00F0037F" w:rsidP="007B7C08">
      <w:pPr>
        <w:pStyle w:val="H23G"/>
        <w:rPr>
          <w:rFonts w:ascii="Sylfaen" w:hAnsi="Sylfaen"/>
        </w:rPr>
      </w:pPr>
      <w:r w:rsidRPr="00FE223D">
        <w:rPr>
          <w:rFonts w:ascii="Sylfaen" w:hAnsi="Sylfaen"/>
        </w:rPr>
        <w:tab/>
      </w:r>
      <w:r w:rsidRPr="00FE223D">
        <w:rPr>
          <w:rFonts w:ascii="Sylfaen" w:hAnsi="Sylfaen"/>
        </w:rPr>
        <w:tab/>
      </w:r>
      <w:r w:rsidR="006F7800" w:rsidRPr="00FE223D">
        <w:rPr>
          <w:rFonts w:ascii="Sylfaen" w:hAnsi="Sylfaen"/>
          <w:lang w:val="ka-GE"/>
        </w:rPr>
        <w:t xml:space="preserve">სახელმწიფო მხარის დამატებითი დაკვირვებები </w:t>
      </w:r>
    </w:p>
    <w:p w14:paraId="2A82DA36" w14:textId="77777777" w:rsidR="00450FD9" w:rsidRPr="00FE223D" w:rsidRDefault="00F0037F" w:rsidP="00450FD9">
      <w:pPr>
        <w:pStyle w:val="SingleTxtG"/>
        <w:rPr>
          <w:rFonts w:ascii="Sylfaen" w:hAnsi="Sylfaen"/>
          <w:lang w:val="ka-GE"/>
        </w:rPr>
      </w:pPr>
      <w:r w:rsidRPr="00FE223D">
        <w:rPr>
          <w:rFonts w:ascii="Sylfaen" w:hAnsi="Sylfaen"/>
        </w:rPr>
        <w:t>6.1</w:t>
      </w:r>
      <w:r w:rsidRPr="00FE223D">
        <w:rPr>
          <w:rFonts w:ascii="Sylfaen" w:hAnsi="Sylfaen"/>
        </w:rPr>
        <w:tab/>
      </w:r>
      <w:r w:rsidR="00450FD9" w:rsidRPr="00FE223D">
        <w:rPr>
          <w:rFonts w:ascii="Sylfaen" w:hAnsi="Sylfaen"/>
          <w:lang w:val="ka-GE"/>
        </w:rPr>
        <w:t xml:space="preserve">2019 წლის 4 ოქტომბერს, სახელმწიფო მხარემ დამატებითი დაკვირვებები გააკეთა, სადაც ის საკუთარ პოზიციას ინარჩუნებდა და დამატებით ინფორმაციას აზიარებდა. </w:t>
      </w:r>
    </w:p>
    <w:p w14:paraId="0E961F3F" w14:textId="097DDBC6" w:rsidR="00184E7D" w:rsidRPr="00FE223D" w:rsidRDefault="00F0037F" w:rsidP="00184E7D">
      <w:pPr>
        <w:pStyle w:val="SingleTxtG"/>
        <w:rPr>
          <w:rFonts w:ascii="Sylfaen" w:hAnsi="Sylfaen"/>
          <w:lang w:val="ka-GE"/>
        </w:rPr>
      </w:pPr>
      <w:r w:rsidRPr="00FE223D">
        <w:rPr>
          <w:rFonts w:ascii="Sylfaen" w:hAnsi="Sylfaen"/>
        </w:rPr>
        <w:t>6.2</w:t>
      </w:r>
      <w:r w:rsidRPr="00FE223D">
        <w:rPr>
          <w:rFonts w:ascii="Sylfaen" w:hAnsi="Sylfaen"/>
        </w:rPr>
        <w:tab/>
      </w:r>
      <w:r w:rsidR="00450FD9" w:rsidRPr="00FE223D">
        <w:rPr>
          <w:rFonts w:ascii="Sylfaen" w:hAnsi="Sylfaen"/>
          <w:lang w:val="ka-GE"/>
        </w:rPr>
        <w:t>რაც შეეხება ავტორის მტკიცებას, რომ უნივერსიტეტს ჭარბი 12 მილიონი შვედური კრონ</w:t>
      </w:r>
      <w:r w:rsidR="001152CA" w:rsidRPr="00FE223D">
        <w:rPr>
          <w:rFonts w:ascii="Sylfaen" w:hAnsi="Sylfaen"/>
          <w:lang w:val="ka-GE"/>
        </w:rPr>
        <w:t>ა</w:t>
      </w:r>
      <w:r w:rsidR="00450FD9" w:rsidRPr="00FE223D">
        <w:rPr>
          <w:rFonts w:ascii="Sylfaen" w:hAnsi="Sylfaen"/>
          <w:lang w:val="ka-GE"/>
        </w:rPr>
        <w:t>თ</w:t>
      </w:r>
      <w:r w:rsidR="001152CA" w:rsidRPr="00FE223D">
        <w:rPr>
          <w:rFonts w:ascii="Sylfaen" w:hAnsi="Sylfaen"/>
          <w:lang w:val="ka-GE"/>
        </w:rPr>
        <w:t>ი</w:t>
      </w:r>
      <w:r w:rsidR="00450FD9" w:rsidRPr="00FE223D">
        <w:rPr>
          <w:rFonts w:ascii="Sylfaen" w:hAnsi="Sylfaen"/>
          <w:lang w:val="ka-GE"/>
        </w:rPr>
        <w:t xml:space="preserve"> (</w:t>
      </w:r>
      <w:r w:rsidR="00450FD9" w:rsidRPr="00FE223D">
        <w:rPr>
          <w:rFonts w:ascii="Sylfaen" w:hAnsi="Sylfaen"/>
          <w:lang w:val="en-US"/>
        </w:rPr>
        <w:t>SEK)</w:t>
      </w:r>
      <w:r w:rsidR="00450FD9" w:rsidRPr="00FE223D">
        <w:rPr>
          <w:rFonts w:ascii="Sylfaen" w:hAnsi="Sylfaen"/>
          <w:lang w:val="ka-GE"/>
        </w:rPr>
        <w:t xml:space="preserve"> „უნივერსიტეტის საქმიანობის ნებისმიერი ხარჯის დაფინანსება შეეძლო“, სახელმწიფო მხარე იმეორებს, რომ გარკვეული მიზნებისთვის გამოყოფილი თანხები სხვა მიზნებისთვის ვერ იქნება </w:t>
      </w:r>
      <w:r w:rsidR="00B83B27" w:rsidRPr="00FE223D">
        <w:rPr>
          <w:rFonts w:ascii="Sylfaen" w:hAnsi="Sylfaen"/>
          <w:lang w:val="ka-GE"/>
        </w:rPr>
        <w:t>გამოყენებული</w:t>
      </w:r>
      <w:r w:rsidR="00450FD9" w:rsidRPr="00FE223D">
        <w:rPr>
          <w:rFonts w:ascii="Sylfaen" w:hAnsi="Sylfaen"/>
          <w:lang w:val="ka-GE"/>
        </w:rPr>
        <w:t xml:space="preserve"> და რომ უნივერსიტეტი ვერ გაიგივდება კერძო კომპანიასთან, რომელსაც დაფინანსების სხვადასხვა საქმიანობაზე გადანაწილება შეუძლია. </w:t>
      </w:r>
    </w:p>
    <w:p w14:paraId="7F2C2226" w14:textId="062BE1A1" w:rsidR="00684F21" w:rsidRPr="00FE223D" w:rsidRDefault="00F0037F" w:rsidP="00684F21">
      <w:pPr>
        <w:pStyle w:val="SingleTxtG"/>
        <w:rPr>
          <w:rFonts w:ascii="Sylfaen" w:hAnsi="Sylfaen"/>
          <w:lang w:val="ka-GE"/>
        </w:rPr>
      </w:pPr>
      <w:r w:rsidRPr="00FE223D">
        <w:rPr>
          <w:rFonts w:ascii="Sylfaen" w:hAnsi="Sylfaen"/>
        </w:rPr>
        <w:lastRenderedPageBreak/>
        <w:t>6.3</w:t>
      </w:r>
      <w:r w:rsidRPr="00FE223D">
        <w:rPr>
          <w:rFonts w:ascii="Sylfaen" w:hAnsi="Sylfaen"/>
        </w:rPr>
        <w:tab/>
      </w:r>
      <w:r w:rsidR="00450FD9" w:rsidRPr="00FE223D">
        <w:rPr>
          <w:rFonts w:ascii="Sylfaen" w:hAnsi="Sylfaen"/>
          <w:lang w:val="ka-GE"/>
        </w:rPr>
        <w:t>ავტორის არგუმენტთა</w:t>
      </w:r>
      <w:r w:rsidR="00BB55D0" w:rsidRPr="00FE223D">
        <w:rPr>
          <w:rFonts w:ascii="Sylfaen" w:hAnsi="Sylfaen"/>
          <w:lang w:val="ka-GE"/>
        </w:rPr>
        <w:t>ნ დაკავშირებით, რომ მას არ მოეთხოვებოდა ადმინისტრაციული სააპელაციო სასამართლოს გადაწყვეტილების გასაჩივრება</w:t>
      </w:r>
      <w:r w:rsidR="00B83B27" w:rsidRPr="00FE223D">
        <w:rPr>
          <w:rFonts w:ascii="Sylfaen" w:hAnsi="Sylfaen"/>
          <w:lang w:val="ka-GE"/>
        </w:rPr>
        <w:t xml:space="preserve"> </w:t>
      </w:r>
      <w:r w:rsidR="00BB55D0" w:rsidRPr="00FE223D">
        <w:rPr>
          <w:rFonts w:ascii="Sylfaen" w:hAnsi="Sylfaen"/>
          <w:lang w:val="ka-GE"/>
        </w:rPr>
        <w:t>ყველა ადგილობრივი სამართლებრივი საშუალებ</w:t>
      </w:r>
      <w:r w:rsidR="00B83B27" w:rsidRPr="00FE223D">
        <w:rPr>
          <w:rFonts w:ascii="Sylfaen" w:hAnsi="Sylfaen"/>
          <w:lang w:val="ka-GE"/>
        </w:rPr>
        <w:t>ის</w:t>
      </w:r>
      <w:r w:rsidR="00BB55D0" w:rsidRPr="00FE223D">
        <w:rPr>
          <w:rFonts w:ascii="Sylfaen" w:hAnsi="Sylfaen"/>
          <w:lang w:val="ka-GE"/>
        </w:rPr>
        <w:t xml:space="preserve"> ამო</w:t>
      </w:r>
      <w:r w:rsidR="00B83B27" w:rsidRPr="00FE223D">
        <w:rPr>
          <w:rFonts w:ascii="Sylfaen" w:hAnsi="Sylfaen"/>
          <w:lang w:val="ka-GE"/>
        </w:rPr>
        <w:t>საწურად</w:t>
      </w:r>
      <w:r w:rsidR="00BB55D0" w:rsidRPr="00FE223D">
        <w:rPr>
          <w:rFonts w:ascii="Sylfaen" w:hAnsi="Sylfaen"/>
          <w:lang w:val="ka-GE"/>
        </w:rPr>
        <w:t xml:space="preserve">, სახელმწიფო მხარე საკუთარ პოზიციას ინარჩუნებს და აცხადებს, რომ ავტორს ყველა იურიდიული და ადმინისტრაციული გზა უნდა გამოეყენებინა, რომელიც პრობლემის გადაჭრის გონივრულ პერსპექტივას </w:t>
      </w:r>
      <w:r w:rsidR="004F20B1" w:rsidRPr="00FE223D">
        <w:rPr>
          <w:rFonts w:ascii="Sylfaen" w:hAnsi="Sylfaen"/>
          <w:lang w:val="ka-GE"/>
        </w:rPr>
        <w:t>ს</w:t>
      </w:r>
      <w:r w:rsidR="00BB55D0" w:rsidRPr="00FE223D">
        <w:rPr>
          <w:rFonts w:ascii="Sylfaen" w:hAnsi="Sylfaen"/>
          <w:lang w:val="ka-GE"/>
        </w:rPr>
        <w:t>თავაზობდა</w:t>
      </w:r>
      <w:r w:rsidR="005F44C2" w:rsidRPr="00FE223D">
        <w:rPr>
          <w:rStyle w:val="FootnoteReference"/>
          <w:rFonts w:ascii="Sylfaen" w:hAnsi="Sylfaen"/>
        </w:rPr>
        <w:footnoteReference w:id="27"/>
      </w:r>
      <w:r w:rsidR="00BB55D0" w:rsidRPr="00FE223D">
        <w:rPr>
          <w:rFonts w:ascii="Sylfaen" w:hAnsi="Sylfaen"/>
          <w:lang w:val="ka-GE"/>
        </w:rPr>
        <w:t xml:space="preserve">. </w:t>
      </w:r>
      <w:r w:rsidR="00970898" w:rsidRPr="00FE223D">
        <w:rPr>
          <w:rFonts w:ascii="Sylfaen" w:hAnsi="Sylfaen"/>
          <w:lang w:val="ka-GE"/>
        </w:rPr>
        <w:t>რაც შეეხება ავტორის არგუმენტს, რომ ის არაა დამნაშავე იმაში, რომ არ ამოწურა ადგილობრივი სამართლებრივი საშუალებები, რამდენად</w:t>
      </w:r>
      <w:r w:rsidR="00B83B27" w:rsidRPr="00FE223D">
        <w:rPr>
          <w:rFonts w:ascii="Sylfaen" w:hAnsi="Sylfaen"/>
          <w:lang w:val="ka-GE"/>
        </w:rPr>
        <w:t>აც</w:t>
      </w:r>
      <w:r w:rsidR="00970898" w:rsidRPr="00FE223D">
        <w:rPr>
          <w:rFonts w:ascii="Sylfaen" w:hAnsi="Sylfaen"/>
          <w:lang w:val="ka-GE"/>
        </w:rPr>
        <w:t xml:space="preserve"> თანასწორობის </w:t>
      </w:r>
      <w:r w:rsidR="00440EF1" w:rsidRPr="00FE223D">
        <w:rPr>
          <w:rFonts w:ascii="Sylfaen" w:hAnsi="Sylfaen"/>
          <w:lang w:val="ka-GE"/>
        </w:rPr>
        <w:t>ომბუდსმე</w:t>
      </w:r>
      <w:r w:rsidR="00970898" w:rsidRPr="00FE223D">
        <w:rPr>
          <w:rFonts w:ascii="Sylfaen" w:hAnsi="Sylfaen"/>
          <w:lang w:val="ka-GE"/>
        </w:rPr>
        <w:t xml:space="preserve">ნმა მას ურჩია სარჩელი აღარ შეეტანა, სახელმწიფო მხარე ამტკიცებს, რომ ავტორს არ წარმოუდგენია ამის მტკიცებულება. </w:t>
      </w:r>
      <w:r w:rsidR="009D40BE" w:rsidRPr="00FE223D">
        <w:rPr>
          <w:rFonts w:ascii="Sylfaen" w:hAnsi="Sylfaen"/>
          <w:lang w:val="ka-GE"/>
        </w:rPr>
        <w:t>აგრეთვე, სახელმწიფო მხარე ამტკიცებს, რომ დისკრიმინაციის</w:t>
      </w:r>
      <w:r w:rsidR="00D9638F" w:rsidRPr="00FE223D">
        <w:rPr>
          <w:rFonts w:ascii="Sylfaen" w:hAnsi="Sylfaen"/>
          <w:lang w:val="ka-GE"/>
        </w:rPr>
        <w:t xml:space="preserve"> შესახებ</w:t>
      </w:r>
      <w:r w:rsidR="009D40BE" w:rsidRPr="00FE223D">
        <w:rPr>
          <w:rFonts w:ascii="Sylfaen" w:hAnsi="Sylfaen"/>
          <w:lang w:val="ka-GE"/>
        </w:rPr>
        <w:t xml:space="preserve"> კანონის მე-6 თავის მე-9 ნაწილის თანახმად, დამსაქმებლის მიერ საჯარო სექტორში გამოცხადებულ</w:t>
      </w:r>
      <w:r w:rsidR="00BB6DFC" w:rsidRPr="00FE223D">
        <w:rPr>
          <w:rFonts w:ascii="Sylfaen" w:hAnsi="Sylfaen"/>
          <w:lang w:val="ka-GE"/>
        </w:rPr>
        <w:t xml:space="preserve"> </w:t>
      </w:r>
      <w:r w:rsidR="00B83B27" w:rsidRPr="00FE223D">
        <w:rPr>
          <w:rFonts w:ascii="Sylfaen" w:hAnsi="Sylfaen"/>
          <w:lang w:val="ka-GE"/>
        </w:rPr>
        <w:t>ვაკანსიაზე</w:t>
      </w:r>
      <w:r w:rsidR="00BB6DFC" w:rsidRPr="00FE223D">
        <w:rPr>
          <w:rFonts w:ascii="Sylfaen" w:hAnsi="Sylfaen"/>
          <w:lang w:val="ka-GE"/>
        </w:rPr>
        <w:t xml:space="preserve"> </w:t>
      </w:r>
      <w:r w:rsidR="00B83B27" w:rsidRPr="00FE223D">
        <w:rPr>
          <w:rFonts w:ascii="Sylfaen" w:hAnsi="Sylfaen"/>
          <w:lang w:val="ka-GE"/>
        </w:rPr>
        <w:t xml:space="preserve">მიღებული </w:t>
      </w:r>
      <w:r w:rsidR="00BB6DFC" w:rsidRPr="00FE223D">
        <w:rPr>
          <w:rFonts w:ascii="Sylfaen" w:hAnsi="Sylfaen"/>
          <w:lang w:val="ka-GE"/>
        </w:rPr>
        <w:t>გადაწყვეტილებ</w:t>
      </w:r>
      <w:r w:rsidR="00B83B27" w:rsidRPr="00FE223D">
        <w:rPr>
          <w:rFonts w:ascii="Sylfaen" w:hAnsi="Sylfaen"/>
          <w:lang w:val="ka-GE"/>
        </w:rPr>
        <w:t>ის</w:t>
      </w:r>
      <w:r w:rsidR="00BB6DFC" w:rsidRPr="00FE223D">
        <w:rPr>
          <w:rFonts w:ascii="Sylfaen" w:hAnsi="Sylfaen"/>
          <w:lang w:val="ka-GE"/>
        </w:rPr>
        <w:t xml:space="preserve"> საფუძველზე კომპენსაციის სარჩელი </w:t>
      </w:r>
      <w:r w:rsidR="00531598" w:rsidRPr="00FE223D">
        <w:rPr>
          <w:rFonts w:ascii="Sylfaen" w:hAnsi="Sylfaen"/>
          <w:lang w:val="ka-GE"/>
        </w:rPr>
        <w:t xml:space="preserve">არ შეიძლება განიხილებოდეს, სანამ დასაქმების გადაწყვეტილება არ გახდება საბოლოო და გაუსაჩივრებელი. საკანონმდებლო ისტორიის მიხედვით, ეს დებულება ხელს არ უშლის ხოლმე ამგვარი სარჩელის აღძვრას, მიუხედავად იმისა, რომ დასაქმების გადაწყვეტილება არაა საბოლოო და გაუსაჩივრებელი. სხვა სიტყვებით რომ ვთქვათ, თანასწორობის </w:t>
      </w:r>
      <w:r w:rsidR="00440EF1" w:rsidRPr="00FE223D">
        <w:rPr>
          <w:rFonts w:ascii="Sylfaen" w:hAnsi="Sylfaen"/>
          <w:lang w:val="ka-GE"/>
        </w:rPr>
        <w:t>ომბუდსმე</w:t>
      </w:r>
      <w:r w:rsidR="00531598" w:rsidRPr="00FE223D">
        <w:rPr>
          <w:rFonts w:ascii="Sylfaen" w:hAnsi="Sylfaen"/>
          <w:lang w:val="ka-GE"/>
        </w:rPr>
        <w:t xml:space="preserve">ნს შეეძლო, ამ დებულების მიუხედავად, დისკრიმინაციის კომპენსაციის შესახებ სარჩელი შრომის სასამართლოში შეეტანა მაშინაც კი, როცა დასაქმების გადაწყვეტილება არ იყო საბოლოო და გაუსაჩივრებელი. ერთადერთი ლიმიტაცია ისაა, რომ შრომის სასამართლო </w:t>
      </w:r>
      <w:r w:rsidR="00184E7D" w:rsidRPr="00FE223D">
        <w:rPr>
          <w:rFonts w:ascii="Sylfaen" w:hAnsi="Sylfaen"/>
          <w:lang w:val="ka-GE"/>
        </w:rPr>
        <w:t xml:space="preserve">განაჩენს ვერ გამოიტანდა მანამ, სანამ დასაქმების გადაწყვეტილება არ გახდებოდა საბოლოო და გაუსაჩივრებელი. ამიტომ, სახელმწიფო მხარე მიიჩნევს, რომ ავტორმა არ ამოწურა ყველა </w:t>
      </w:r>
      <w:r w:rsidR="00B83B27" w:rsidRPr="00FE223D">
        <w:rPr>
          <w:rFonts w:ascii="Sylfaen" w:hAnsi="Sylfaen"/>
          <w:lang w:val="ka-GE"/>
        </w:rPr>
        <w:t>ხელ</w:t>
      </w:r>
      <w:r w:rsidR="00184E7D" w:rsidRPr="00FE223D">
        <w:rPr>
          <w:rFonts w:ascii="Sylfaen" w:hAnsi="Sylfaen"/>
          <w:lang w:val="ka-GE"/>
        </w:rPr>
        <w:t xml:space="preserve">მისაწვდომი ადგილობრივი სამართლებრივი საშუალება. </w:t>
      </w:r>
    </w:p>
    <w:p w14:paraId="163090F6" w14:textId="7B6BD210" w:rsidR="000728DB" w:rsidRPr="00FE223D" w:rsidRDefault="00F0037F" w:rsidP="00684F21">
      <w:pPr>
        <w:pStyle w:val="SingleTxtG"/>
        <w:rPr>
          <w:rFonts w:ascii="Sylfaen" w:hAnsi="Sylfaen"/>
          <w:lang w:val="ka-GE"/>
        </w:rPr>
      </w:pPr>
      <w:r w:rsidRPr="00FE223D">
        <w:rPr>
          <w:rFonts w:ascii="Sylfaen" w:hAnsi="Sylfaen"/>
        </w:rPr>
        <w:t>6.4</w:t>
      </w:r>
      <w:r w:rsidRPr="00FE223D">
        <w:rPr>
          <w:rFonts w:ascii="Sylfaen" w:hAnsi="Sylfaen"/>
        </w:rPr>
        <w:tab/>
      </w:r>
      <w:r w:rsidR="00184E7D" w:rsidRPr="00FE223D">
        <w:rPr>
          <w:rFonts w:ascii="Sylfaen" w:hAnsi="Sylfaen"/>
          <w:lang w:val="ka-GE"/>
        </w:rPr>
        <w:t xml:space="preserve">სახელმწიფო </w:t>
      </w:r>
      <w:r w:rsidR="000728DB" w:rsidRPr="00FE223D">
        <w:rPr>
          <w:rFonts w:ascii="Sylfaen" w:hAnsi="Sylfaen"/>
          <w:lang w:val="ka-GE"/>
        </w:rPr>
        <w:t>მხარე ინარჩუნებს საკუთარ პოზიციას, რომ ავტორის ბრალდებები</w:t>
      </w:r>
      <w:r w:rsidR="00234AFE" w:rsidRPr="00FE223D">
        <w:rPr>
          <w:rFonts w:ascii="Sylfaen" w:hAnsi="Sylfaen"/>
          <w:lang w:val="ka-GE"/>
        </w:rPr>
        <w:t>,</w:t>
      </w:r>
      <w:r w:rsidR="000728DB" w:rsidRPr="00FE223D">
        <w:rPr>
          <w:rFonts w:ascii="Sylfaen" w:hAnsi="Sylfaen"/>
          <w:lang w:val="ka-GE"/>
        </w:rPr>
        <w:t xml:space="preserve"> გონივრული მისადაგების ღონისძიებების შესწავლის </w:t>
      </w:r>
      <w:r w:rsidR="00E92BC6" w:rsidRPr="00FE223D">
        <w:rPr>
          <w:rFonts w:ascii="Sylfaen" w:hAnsi="Sylfaen"/>
          <w:lang w:val="ka-GE"/>
        </w:rPr>
        <w:t>ნაკლებობასთან</w:t>
      </w:r>
      <w:r w:rsidR="000728DB" w:rsidRPr="00FE223D">
        <w:rPr>
          <w:rFonts w:ascii="Sylfaen" w:hAnsi="Sylfaen"/>
          <w:lang w:val="ka-GE"/>
        </w:rPr>
        <w:t xml:space="preserve"> </w:t>
      </w:r>
      <w:r w:rsidR="00E92BC6" w:rsidRPr="00FE223D">
        <w:rPr>
          <w:rFonts w:ascii="Sylfaen" w:hAnsi="Sylfaen"/>
          <w:lang w:val="ka-GE"/>
        </w:rPr>
        <w:t xml:space="preserve">დაკავშირებით, დაუშვებლად უნდა გამოცხადდეს. სახელმწიფო მხარე აღნიშნავს ავტორის მტკიცებას, რომ ეს საკითხი შრომის სასამართლოს ყურადღების ქვეშ საქმის მიმდინარეობისას მოექცა და რომ მას ამ საკითხზე გადაწყვეტილების მიღება iura novit curia პრინციპის შესაბამისად შეეძლო. სახელმწიფო მხარე </w:t>
      </w:r>
      <w:r w:rsidR="00E465C4" w:rsidRPr="00FE223D">
        <w:rPr>
          <w:rFonts w:ascii="Sylfaen" w:hAnsi="Sylfaen"/>
          <w:lang w:val="ka-GE"/>
        </w:rPr>
        <w:t>ამტკიცებს, რომ შრომის სასამართლოს მიერ მხოლოდ ამ საკითხის ან ფაქტის მხედველობაში მიღება სასამართლოს არ მისცემ</w:t>
      </w:r>
      <w:r w:rsidR="00234AFE" w:rsidRPr="00FE223D">
        <w:rPr>
          <w:rFonts w:ascii="Sylfaen" w:hAnsi="Sylfaen"/>
          <w:lang w:val="ka-GE"/>
        </w:rPr>
        <w:t>და</w:t>
      </w:r>
      <w:r w:rsidR="00E465C4" w:rsidRPr="00FE223D">
        <w:rPr>
          <w:rFonts w:ascii="Sylfaen" w:hAnsi="Sylfaen"/>
          <w:lang w:val="ka-GE"/>
        </w:rPr>
        <w:t xml:space="preserve"> საშუალებას, საკუთარი გადაწყვეტილება ამ საკითხზე ან ფაქტზე და</w:t>
      </w:r>
      <w:r w:rsidR="00234AFE" w:rsidRPr="00FE223D">
        <w:rPr>
          <w:rFonts w:ascii="Sylfaen" w:hAnsi="Sylfaen"/>
          <w:lang w:val="ka-GE"/>
        </w:rPr>
        <w:t>ეფუძნებინა</w:t>
      </w:r>
      <w:r w:rsidR="00E465C4" w:rsidRPr="00FE223D">
        <w:rPr>
          <w:rFonts w:ascii="Sylfaen" w:hAnsi="Sylfaen"/>
          <w:lang w:val="ka-GE"/>
        </w:rPr>
        <w:t xml:space="preserve">. შვედეთის სასამართლო საპროცესო კოდექსის მე-17 თავის მე-3 ნაწილის თანახმად, გადაწყვეტილება შეიძლება დაფუძნებული იყოს მხოლოდ ისეთ გარემოებებზე, რომლებიც მხარემ საკუთარი </w:t>
      </w:r>
      <w:r w:rsidR="00234AFE" w:rsidRPr="00FE223D">
        <w:rPr>
          <w:rFonts w:ascii="Sylfaen" w:hAnsi="Sylfaen"/>
          <w:lang w:val="ka-GE"/>
        </w:rPr>
        <w:t>საქმის</w:t>
      </w:r>
      <w:r w:rsidR="00E465C4" w:rsidRPr="00FE223D">
        <w:rPr>
          <w:rFonts w:ascii="Sylfaen" w:hAnsi="Sylfaen"/>
          <w:lang w:val="ka-GE"/>
        </w:rPr>
        <w:t xml:space="preserve"> საფუძვლად მოიაზრა. „გარემოებები“ მიემართება მხოლოდ სამართლებრივ ფაქტებს, კერძოდ, მხარის მიერ გაკეთებულ ბრალდებებს, </w:t>
      </w:r>
      <w:r w:rsidR="004559C6" w:rsidRPr="00FE223D">
        <w:rPr>
          <w:rFonts w:ascii="Sylfaen" w:hAnsi="Sylfaen"/>
          <w:lang w:val="ka-GE"/>
        </w:rPr>
        <w:t xml:space="preserve">რამაც მხარე სამართლებრივი დაცვის იმ საშუალებებამდე მიიყვანა, რომელთა მიღწევაც სამართალწარმოებისას სურს. სასამართლოს არ აქვს უფლება სამართლებრივი ფაქტების ციტირებაში </w:t>
      </w:r>
      <w:r w:rsidR="00234AFE" w:rsidRPr="00FE223D">
        <w:rPr>
          <w:rFonts w:ascii="Sylfaen" w:hAnsi="Sylfaen"/>
          <w:lang w:val="ka-GE"/>
        </w:rPr>
        <w:t>ხარვეზები</w:t>
      </w:r>
      <w:r w:rsidR="00234AFE" w:rsidRPr="00FE223D">
        <w:rPr>
          <w:rFonts w:ascii="Sylfaen" w:hAnsi="Sylfaen"/>
          <w:lang w:val="ka-GE"/>
        </w:rPr>
        <w:t xml:space="preserve"> </w:t>
      </w:r>
      <w:r w:rsidR="004559C6" w:rsidRPr="00FE223D">
        <w:rPr>
          <w:rFonts w:ascii="Sylfaen" w:hAnsi="Sylfaen"/>
          <w:lang w:val="ka-GE"/>
        </w:rPr>
        <w:t>განიხილოს ან შეავსოს.</w:t>
      </w:r>
      <w:r w:rsidR="00684F21" w:rsidRPr="00FE223D">
        <w:rPr>
          <w:rFonts w:ascii="Sylfaen" w:hAnsi="Sylfaen"/>
          <w:lang w:val="ka-GE"/>
        </w:rPr>
        <w:t xml:space="preserve"> </w:t>
      </w:r>
      <w:r w:rsidR="004559C6" w:rsidRPr="00FE223D">
        <w:rPr>
          <w:rFonts w:ascii="Sylfaen" w:hAnsi="Sylfaen"/>
          <w:lang w:val="ka-GE"/>
        </w:rPr>
        <w:t>მხოლოდ მხარეები ადგენენ სამართალწარმოების ჩარჩოს. თითოეული მხარის გადასაწყვეტია, საპროცესო მასალის რომელი ნაწილები ქმნის ქმედების საფუძველს და რომელი მათგანით უ</w:t>
      </w:r>
      <w:r w:rsidR="00BB35A6" w:rsidRPr="00FE223D">
        <w:rPr>
          <w:rFonts w:ascii="Sylfaen" w:hAnsi="Sylfaen"/>
          <w:lang w:val="ka-GE"/>
        </w:rPr>
        <w:t xml:space="preserve">ნდა შემოსაზღვროს სასამართლომ </w:t>
      </w:r>
      <w:r w:rsidR="00234AFE" w:rsidRPr="00FE223D">
        <w:rPr>
          <w:rFonts w:ascii="Sylfaen" w:hAnsi="Sylfaen"/>
          <w:lang w:val="ka-GE"/>
        </w:rPr>
        <w:t>მათი</w:t>
      </w:r>
      <w:r w:rsidR="00BB35A6" w:rsidRPr="00FE223D">
        <w:rPr>
          <w:rFonts w:ascii="Sylfaen" w:hAnsi="Sylfaen"/>
          <w:lang w:val="ka-GE"/>
        </w:rPr>
        <w:t xml:space="preserve"> განხილვა. მხარეებმა საპროცესო მასალა ფაქტებად უნდა დაახარისხონ და არარელევანტურია ის, მიიჩნევს თუ არა სასამართლო, რომ სხვა გარემოებები გათვალისწინებული უნდა ყოფილიყო სამართლებრივი დაცვის დროს, თუ ეს გარემოებები მხარეებმა საკუთარი ქმედების საფუძვლად არ დაასახელეს. წინამდებარე საქმეში, რამდენადაც ავტორ</w:t>
      </w:r>
      <w:r w:rsidR="00CA3A5F" w:rsidRPr="00FE223D">
        <w:rPr>
          <w:rFonts w:ascii="Sylfaen" w:hAnsi="Sylfaen"/>
          <w:lang w:val="ka-GE"/>
        </w:rPr>
        <w:t>მა</w:t>
      </w:r>
      <w:r w:rsidR="00BB35A6" w:rsidRPr="00FE223D">
        <w:rPr>
          <w:rFonts w:ascii="Sylfaen" w:hAnsi="Sylfaen"/>
          <w:lang w:val="ka-GE"/>
        </w:rPr>
        <w:t xml:space="preserve"> გონივრული მისადაგების ღონისძიებების არასაკმარის</w:t>
      </w:r>
      <w:r w:rsidR="004F20B1" w:rsidRPr="00FE223D">
        <w:rPr>
          <w:rFonts w:ascii="Sylfaen" w:hAnsi="Sylfaen"/>
          <w:lang w:val="ka-GE"/>
        </w:rPr>
        <w:t>ად</w:t>
      </w:r>
      <w:r w:rsidR="00CA3A5F" w:rsidRPr="00FE223D">
        <w:rPr>
          <w:rFonts w:ascii="Sylfaen" w:hAnsi="Sylfaen"/>
          <w:lang w:val="ka-GE"/>
        </w:rPr>
        <w:t xml:space="preserve"> შესწავლის</w:t>
      </w:r>
      <w:r w:rsidR="00BB35A6" w:rsidRPr="00FE223D">
        <w:rPr>
          <w:rFonts w:ascii="Sylfaen" w:hAnsi="Sylfaen"/>
          <w:lang w:val="ka-GE"/>
        </w:rPr>
        <w:t xml:space="preserve"> </w:t>
      </w:r>
      <w:r w:rsidR="00BB35A6" w:rsidRPr="00FE223D">
        <w:rPr>
          <w:rFonts w:ascii="Sylfaen" w:hAnsi="Sylfaen"/>
          <w:lang w:val="ka-GE"/>
        </w:rPr>
        <w:lastRenderedPageBreak/>
        <w:t>საკითხ</w:t>
      </w:r>
      <w:r w:rsidR="00CA3A5F" w:rsidRPr="00FE223D">
        <w:rPr>
          <w:rFonts w:ascii="Sylfaen" w:hAnsi="Sylfaen"/>
          <w:lang w:val="ka-GE"/>
        </w:rPr>
        <w:t>ი შრომის სასამართლოს წინაშე არ დააყენა, სასამართლო ვერ შეაფასებდა იმას, უნდა შეესწავლა თუ არა უნივერსიტეტს ასეთი ღონისძიებები. სახელმწიფო მხარე ეჭვქვეშ აყენებს იმასაც, თუ რამდენად შეიძლება ავტორი</w:t>
      </w:r>
      <w:r w:rsidR="00684F21" w:rsidRPr="00FE223D">
        <w:rPr>
          <w:rFonts w:ascii="Sylfaen" w:hAnsi="Sylfaen"/>
          <w:lang w:val="ka-GE"/>
        </w:rPr>
        <w:t xml:space="preserve"> </w:t>
      </w:r>
      <w:r w:rsidR="00CA3A5F" w:rsidRPr="00FE223D">
        <w:rPr>
          <w:rFonts w:ascii="Sylfaen" w:hAnsi="Sylfaen"/>
          <w:lang w:val="ka-GE"/>
        </w:rPr>
        <w:t>ადგილობრივი სამართლებრივი საშუალებების ამოწურვის ვალდებულებისგან გათავისუფლებულად</w:t>
      </w:r>
      <w:r w:rsidR="00684F21" w:rsidRPr="00FE223D">
        <w:rPr>
          <w:rFonts w:ascii="Sylfaen" w:hAnsi="Sylfaen"/>
          <w:lang w:val="ka-GE"/>
        </w:rPr>
        <w:t xml:space="preserve"> ჩაითვალოს მხოლოდ იმიტომ, რომ სარჩელის შეტანისგან თავი </w:t>
      </w:r>
      <w:r w:rsidR="00440EF1" w:rsidRPr="00FE223D">
        <w:rPr>
          <w:rFonts w:ascii="Sylfaen" w:hAnsi="Sylfaen"/>
          <w:lang w:val="ka-GE"/>
        </w:rPr>
        <w:t>ომბუდსმე</w:t>
      </w:r>
      <w:r w:rsidR="00684F21" w:rsidRPr="00FE223D">
        <w:rPr>
          <w:rFonts w:ascii="Sylfaen" w:hAnsi="Sylfaen"/>
          <w:lang w:val="ka-GE"/>
        </w:rPr>
        <w:t xml:space="preserve">ნის რჩევით შეიკავა. თუ ავტორი </w:t>
      </w:r>
      <w:r w:rsidR="00440EF1" w:rsidRPr="00FE223D">
        <w:rPr>
          <w:rFonts w:ascii="Sylfaen" w:hAnsi="Sylfaen"/>
          <w:lang w:val="ka-GE"/>
        </w:rPr>
        <w:t>ომბუდსმე</w:t>
      </w:r>
      <w:r w:rsidR="00684F21" w:rsidRPr="00FE223D">
        <w:rPr>
          <w:rFonts w:ascii="Sylfaen" w:hAnsi="Sylfaen"/>
          <w:lang w:val="ka-GE"/>
        </w:rPr>
        <w:t xml:space="preserve">ნის მუშაობით არ იყო კმაყოფილი, მას თანხმობის გაუქმება და სამართლებრივი ზომების თავად ან ადვოკატთან ერთად მიღება შეეძლო. </w:t>
      </w:r>
    </w:p>
    <w:p w14:paraId="1D93F6DE" w14:textId="40F7DC88" w:rsidR="00684F21" w:rsidRPr="00FE223D" w:rsidRDefault="00F0037F" w:rsidP="00417124">
      <w:pPr>
        <w:pStyle w:val="SingleTxtG"/>
        <w:rPr>
          <w:rFonts w:ascii="Sylfaen" w:hAnsi="Sylfaen"/>
          <w:lang w:val="ka-GE"/>
        </w:rPr>
      </w:pPr>
      <w:r w:rsidRPr="00FE223D">
        <w:rPr>
          <w:rFonts w:ascii="Sylfaen" w:hAnsi="Sylfaen"/>
        </w:rPr>
        <w:t>6.5</w:t>
      </w:r>
      <w:r w:rsidRPr="00FE223D">
        <w:rPr>
          <w:rFonts w:ascii="Sylfaen" w:hAnsi="Sylfaen"/>
        </w:rPr>
        <w:tab/>
      </w:r>
      <w:r w:rsidR="00A317FD" w:rsidRPr="00FE223D">
        <w:rPr>
          <w:rFonts w:ascii="Sylfaen" w:hAnsi="Sylfaen"/>
          <w:lang w:val="ka-GE"/>
        </w:rPr>
        <w:t xml:space="preserve">სახელმწიფო მხარე ამტკიცებს, რომ ავტორის განცხადებები ონლაინ სწავლებას, შებრუნებულ საკლასო ოთახსა და სამუშაო მოვალეობების გადანაწილებასთან დაკავშირებით, იმავე, გონივრული მისადაგების ღონისძიებების შესწავლის საკითხს ეხება და </w:t>
      </w:r>
      <w:r w:rsidR="00203A6F" w:rsidRPr="00FE223D">
        <w:rPr>
          <w:rFonts w:ascii="Sylfaen" w:hAnsi="Sylfaen"/>
          <w:lang w:val="ka-GE"/>
        </w:rPr>
        <w:t xml:space="preserve">მიიჩნევს, რომ მათზე პასუხი უკვე გაცემულია. შრომის სასამართლოს წინაშე თანასწორობის </w:t>
      </w:r>
      <w:r w:rsidR="00440EF1" w:rsidRPr="00FE223D">
        <w:rPr>
          <w:rFonts w:ascii="Sylfaen" w:hAnsi="Sylfaen"/>
          <w:lang w:val="ka-GE"/>
        </w:rPr>
        <w:t>ომბუდსმე</w:t>
      </w:r>
      <w:r w:rsidR="00203A6F" w:rsidRPr="00FE223D">
        <w:rPr>
          <w:rFonts w:ascii="Sylfaen" w:hAnsi="Sylfaen"/>
          <w:lang w:val="ka-GE"/>
        </w:rPr>
        <w:t>ნის პოზიცია იყო, რომ ჟესტური ენის თარჯიმნის ხარჯი წელიწადში 520 000 შვედურ კრონას (</w:t>
      </w:r>
      <w:r w:rsidR="00203A6F" w:rsidRPr="00FE223D">
        <w:rPr>
          <w:rFonts w:ascii="Sylfaen" w:hAnsi="Sylfaen"/>
          <w:lang w:val="en-US"/>
        </w:rPr>
        <w:t xml:space="preserve">SEK) </w:t>
      </w:r>
      <w:r w:rsidR="00203A6F" w:rsidRPr="00FE223D">
        <w:rPr>
          <w:rFonts w:ascii="Sylfaen" w:hAnsi="Sylfaen"/>
          <w:lang w:val="ka-GE"/>
        </w:rPr>
        <w:t xml:space="preserve">შეადგენს. მან არ მოახდინა ისეთი სამართლებრივი ფაქტის ციტირება, რომელიც გრძელვადიანი ხარჯების შემცირებაზე საუბრობდა. სახელმწიფო მხარე მიიჩნევს, რომ შეტყობინების ეს ნაწილიც დაუშვებლად უნდა გამოცხადდეს, ადგილობრივი სამართლებრივი დაცვის საშუალებების არ-ამოწურვის გამო. </w:t>
      </w:r>
    </w:p>
    <w:p w14:paraId="7F6988DD" w14:textId="55419F95" w:rsidR="00EA0BA9" w:rsidRPr="00FE223D" w:rsidRDefault="00F0037F" w:rsidP="00EA0BA9">
      <w:pPr>
        <w:pStyle w:val="SingleTxtG"/>
        <w:rPr>
          <w:rFonts w:ascii="Sylfaen" w:hAnsi="Sylfaen"/>
          <w:lang w:val="ka-GE"/>
        </w:rPr>
      </w:pPr>
      <w:r w:rsidRPr="00FE223D">
        <w:rPr>
          <w:rFonts w:ascii="Sylfaen" w:hAnsi="Sylfaen"/>
        </w:rPr>
        <w:t>6.6</w:t>
      </w:r>
      <w:r w:rsidRPr="00FE223D">
        <w:rPr>
          <w:rFonts w:ascii="Sylfaen" w:hAnsi="Sylfaen"/>
        </w:rPr>
        <w:tab/>
      </w:r>
      <w:r w:rsidR="004C06CC" w:rsidRPr="00FE223D">
        <w:rPr>
          <w:rFonts w:ascii="Sylfaen" w:hAnsi="Sylfaen"/>
          <w:lang w:val="ka-GE"/>
        </w:rPr>
        <w:t>სახელმწიფო მხარე აღნიშნავს, რომ ავტორმა, როგორც ჩანს, „არაადეკვატურ იმპლემენტაციასთან“ დაკავშირებით</w:t>
      </w:r>
      <w:r w:rsidR="00234AFE" w:rsidRPr="00FE223D">
        <w:rPr>
          <w:rFonts w:ascii="Sylfaen" w:hAnsi="Sylfaen"/>
          <w:lang w:val="ka-GE"/>
        </w:rPr>
        <w:t xml:space="preserve">, </w:t>
      </w:r>
      <w:r w:rsidR="00234AFE" w:rsidRPr="00FE223D">
        <w:rPr>
          <w:rFonts w:ascii="Sylfaen" w:hAnsi="Sylfaen"/>
          <w:lang w:val="ka-GE"/>
        </w:rPr>
        <w:t>ახალი არგუმენტები წამოაყენა</w:t>
      </w:r>
      <w:r w:rsidR="004C06CC" w:rsidRPr="00FE223D">
        <w:rPr>
          <w:rFonts w:ascii="Sylfaen" w:hAnsi="Sylfaen"/>
          <w:lang w:val="ka-GE"/>
        </w:rPr>
        <w:t>. ამასთან დაკავშირებით, კანონი</w:t>
      </w:r>
      <w:r w:rsidR="004F20B1" w:rsidRPr="00FE223D">
        <w:rPr>
          <w:rFonts w:ascii="Sylfaen" w:hAnsi="Sylfaen"/>
          <w:lang w:val="ka-GE"/>
        </w:rPr>
        <w:t xml:space="preserve"> </w:t>
      </w:r>
      <w:r w:rsidR="00D9638F" w:rsidRPr="00FE223D">
        <w:rPr>
          <w:rFonts w:ascii="Sylfaen" w:hAnsi="Sylfaen"/>
          <w:lang w:val="ka-GE"/>
        </w:rPr>
        <w:t xml:space="preserve">დისკრიმინაციის შესახებ </w:t>
      </w:r>
      <w:r w:rsidR="004C06CC" w:rsidRPr="00FE223D">
        <w:rPr>
          <w:rFonts w:ascii="Sylfaen" w:hAnsi="Sylfaen"/>
          <w:lang w:val="ka-GE"/>
        </w:rPr>
        <w:t xml:space="preserve">და მასში არსებული აკრძალული დისკრიმინაციის სხვადასხვა ფორმები ევროკავშირის კანონმდებლობას ეფუძნება. აქ განსაკუთრებული მნიშვნელობა საბჭოს 2000 წლის 27 ნოემბრის 2000/78/EC დირექტივას ენიჭება, რომელიც დასაქმებასა და სამსახურში თანასწორი მოპყრობის ზოგად ჩარჩოს ადგენს. </w:t>
      </w:r>
      <w:r w:rsidR="00555D94" w:rsidRPr="00FE223D">
        <w:rPr>
          <w:rFonts w:ascii="Sylfaen" w:hAnsi="Sylfaen"/>
          <w:lang w:val="ka-GE"/>
        </w:rPr>
        <w:t>დირექტივის მე-20 პუნქტში ნათქვამია, რომ სამუშაო ადგილის შეზღუდულ შესაძლებლობებთან ადაპტირებისთვის შესაბამისი, ე.ი., ეფექტური და პრაქტიკული ღონისძიებები უნდა გატარდეს.</w:t>
      </w:r>
    </w:p>
    <w:p w14:paraId="7C859E5A" w14:textId="7D9A87D5" w:rsidR="002F423C" w:rsidRPr="00FE223D" w:rsidRDefault="00425A26" w:rsidP="00211803">
      <w:pPr>
        <w:pStyle w:val="SingleTxtG"/>
        <w:rPr>
          <w:rFonts w:ascii="Sylfaen" w:hAnsi="Sylfaen"/>
          <w:lang w:val="ka-GE"/>
        </w:rPr>
      </w:pPr>
      <w:r w:rsidRPr="00FE223D">
        <w:rPr>
          <w:rFonts w:ascii="Sylfaen" w:hAnsi="Sylfaen"/>
        </w:rPr>
        <w:t>6.7</w:t>
      </w:r>
      <w:r w:rsidRPr="00FE223D">
        <w:rPr>
          <w:rFonts w:ascii="Sylfaen" w:hAnsi="Sylfaen"/>
        </w:rPr>
        <w:tab/>
      </w:r>
      <w:r w:rsidR="00555D94" w:rsidRPr="00FE223D">
        <w:rPr>
          <w:rFonts w:ascii="Sylfaen" w:hAnsi="Sylfaen"/>
          <w:lang w:val="ka-GE"/>
        </w:rPr>
        <w:t>რაც შეეხება ავტორის განცხადებებს, რომ „დასაქმებიდან ორი წლის შემდეგ, ლექტორი კვლევითი შესაძლებლობებით</w:t>
      </w:r>
      <w:r w:rsidR="00DC4D97" w:rsidRPr="00FE223D">
        <w:rPr>
          <w:rFonts w:ascii="Sylfaen" w:hAnsi="Sylfaen"/>
          <w:lang w:val="ka-GE"/>
        </w:rPr>
        <w:t xml:space="preserve"> </w:t>
      </w:r>
      <w:r w:rsidR="00DC4D97" w:rsidRPr="00FE223D">
        <w:rPr>
          <w:rFonts w:ascii="Sylfaen" w:hAnsi="Sylfaen"/>
          <w:lang w:val="ka-GE"/>
        </w:rPr>
        <w:t>სარგებლობს</w:t>
      </w:r>
      <w:r w:rsidR="00555D94" w:rsidRPr="00FE223D">
        <w:rPr>
          <w:rFonts w:ascii="Sylfaen" w:hAnsi="Sylfaen"/>
          <w:lang w:val="ka-GE"/>
        </w:rPr>
        <w:t xml:space="preserve">“ და რომ „ყველა უნივერსიტეტი სამართლებრივად ვალდებულია, ლექტორებს კარიერული პროგრამა შესთავაზონ, პროფესორის პოზიციაზე განაცხადის შეტანის შესაძლებლობით“, ამასთან დაკავშირებით, სახელმწიფო მხარე ამტკიცებს, რომ </w:t>
      </w:r>
      <w:r w:rsidR="0051218C" w:rsidRPr="00FE223D">
        <w:rPr>
          <w:rFonts w:ascii="Sylfaen" w:hAnsi="Sylfaen"/>
          <w:lang w:val="ka-GE"/>
        </w:rPr>
        <w:t xml:space="preserve">ისინი მცდარია. პირველ რიგში, ვაკანსიაზე მითითებული იყო, რომ თანამდებობა, შესაძლოა, მოიცავდეს კვლევას, საჭირო თანხების მოპოვების შემთხვევაში. მეორე რიგში, შვედეთის უნივერსიტეტები არ არიან ვალდებულნი ლექტორებს კარიერული პროგრამები შესთავაზონ. პოზიციის სამომავლო მოთხოვნების განსაზღვრა, თარჯიმნის საჭიროებებს ჩათვლით, სპეკულაციაზეა დაუძნებული. რაც შეეხება ავტორის მტკიცებას, რომ დასაქმების ყველა ასპექტი ჟესტური ენის თარჯიმანს არ საჭიროებს, სახელმწიფო მხარე ამბობს, რომ ეს არგუმენტი შრომის სასამართლოში დავის მხარეებს შორის საერთო საფუძველი იყო. ისინი </w:t>
      </w:r>
      <w:r w:rsidR="00B64EC4" w:rsidRPr="00FE223D">
        <w:rPr>
          <w:rFonts w:ascii="Sylfaen" w:hAnsi="Sylfaen"/>
          <w:lang w:val="ka-GE"/>
        </w:rPr>
        <w:t xml:space="preserve">შეთანხმდნენ ჟესტური ენის </w:t>
      </w:r>
      <w:r w:rsidR="000E59B2" w:rsidRPr="00FE223D">
        <w:rPr>
          <w:rFonts w:ascii="Sylfaen" w:hAnsi="Sylfaen"/>
          <w:lang w:val="ka-GE"/>
        </w:rPr>
        <w:t>ინტერპრეტაციის</w:t>
      </w:r>
      <w:r w:rsidR="00B64EC4" w:rsidRPr="00FE223D">
        <w:rPr>
          <w:rFonts w:ascii="Sylfaen" w:hAnsi="Sylfaen"/>
          <w:lang w:val="ka-GE"/>
        </w:rPr>
        <w:t xml:space="preserve"> მასშტაბზე, რომელსაც პოზიცია მოითხოვდა. შრომის სასამართლომ საკუთარი გადაწყვეტილება თანასწორობის </w:t>
      </w:r>
      <w:r w:rsidR="00440EF1" w:rsidRPr="00FE223D">
        <w:rPr>
          <w:rFonts w:ascii="Sylfaen" w:hAnsi="Sylfaen"/>
          <w:lang w:val="ka-GE"/>
        </w:rPr>
        <w:t>ომბუდსმე</w:t>
      </w:r>
      <w:r w:rsidR="00B64EC4" w:rsidRPr="00FE223D">
        <w:rPr>
          <w:rFonts w:ascii="Sylfaen" w:hAnsi="Sylfaen"/>
          <w:lang w:val="ka-GE"/>
        </w:rPr>
        <w:t xml:space="preserve">ნის მიერ ჟესტური ენის თარჯიმნის ღირებულებაზე დააფუძნა. ეს ღირებულება </w:t>
      </w:r>
      <w:r w:rsidR="00211803" w:rsidRPr="00FE223D">
        <w:rPr>
          <w:rFonts w:ascii="Sylfaen" w:hAnsi="Sylfaen"/>
          <w:lang w:val="ka-GE"/>
        </w:rPr>
        <w:t xml:space="preserve">ხელფასის სუბსიდიის დახმარებით </w:t>
      </w:r>
      <w:r w:rsidR="00B64EC4" w:rsidRPr="00FE223D">
        <w:rPr>
          <w:rFonts w:ascii="Sylfaen" w:hAnsi="Sylfaen"/>
          <w:lang w:val="ka-GE"/>
        </w:rPr>
        <w:t>წლიური დანახარჯ</w:t>
      </w:r>
      <w:r w:rsidR="00211803" w:rsidRPr="00FE223D">
        <w:rPr>
          <w:rFonts w:ascii="Sylfaen" w:hAnsi="Sylfaen"/>
          <w:lang w:val="ka-GE"/>
        </w:rPr>
        <w:t>ის შემცირებას ისახავდა მიზნად. ხელფასის სუბსიდია</w:t>
      </w:r>
      <w:r w:rsidR="00DC4D97" w:rsidRPr="00FE223D">
        <w:rPr>
          <w:rFonts w:ascii="Sylfaen" w:hAnsi="Sylfaen"/>
          <w:lang w:val="ka-GE"/>
        </w:rPr>
        <w:t xml:space="preserve"> შეადგენდა </w:t>
      </w:r>
      <w:r w:rsidR="00B64EC4" w:rsidRPr="00FE223D">
        <w:rPr>
          <w:rFonts w:ascii="Sylfaen" w:hAnsi="Sylfaen"/>
          <w:lang w:val="ka-GE"/>
        </w:rPr>
        <w:t>დაფინანსების მაქსიმუმ</w:t>
      </w:r>
      <w:r w:rsidR="00DC4D97" w:rsidRPr="00FE223D">
        <w:rPr>
          <w:rFonts w:ascii="Sylfaen" w:hAnsi="Sylfaen"/>
          <w:lang w:val="ka-GE"/>
        </w:rPr>
        <w:t>ს,</w:t>
      </w:r>
      <w:r w:rsidR="00B64EC4" w:rsidRPr="00FE223D">
        <w:rPr>
          <w:rFonts w:ascii="Sylfaen" w:hAnsi="Sylfaen"/>
          <w:lang w:val="ka-GE"/>
        </w:rPr>
        <w:t xml:space="preserve"> 220 000 შვედური კრონ</w:t>
      </w:r>
      <w:r w:rsidR="001152CA" w:rsidRPr="00FE223D">
        <w:rPr>
          <w:rFonts w:ascii="Sylfaen" w:hAnsi="Sylfaen"/>
          <w:lang w:val="ka-GE"/>
        </w:rPr>
        <w:t>ა</w:t>
      </w:r>
      <w:r w:rsidR="00B64EC4" w:rsidRPr="00FE223D">
        <w:rPr>
          <w:rFonts w:ascii="Sylfaen" w:hAnsi="Sylfaen"/>
          <w:lang w:val="ka-GE"/>
        </w:rPr>
        <w:t>ს (</w:t>
      </w:r>
      <w:r w:rsidR="00B64EC4" w:rsidRPr="00FE223D">
        <w:rPr>
          <w:rFonts w:ascii="Sylfaen" w:hAnsi="Sylfaen"/>
          <w:lang w:val="en-US"/>
        </w:rPr>
        <w:t>SEK</w:t>
      </w:r>
      <w:r w:rsidR="00211803" w:rsidRPr="00FE223D">
        <w:rPr>
          <w:rFonts w:ascii="Sylfaen" w:hAnsi="Sylfaen"/>
          <w:lang w:val="ka-GE"/>
        </w:rPr>
        <w:t xml:space="preserve">), რაც გაწერილი იყო </w:t>
      </w:r>
      <w:r w:rsidR="002F423C" w:rsidRPr="00FE223D">
        <w:rPr>
          <w:rFonts w:ascii="Sylfaen" w:hAnsi="Sylfaen"/>
          <w:lang w:val="ka-GE"/>
        </w:rPr>
        <w:t>განკარგულება</w:t>
      </w:r>
      <w:r w:rsidR="00211803" w:rsidRPr="00FE223D">
        <w:rPr>
          <w:rFonts w:ascii="Sylfaen" w:hAnsi="Sylfaen"/>
          <w:lang w:val="ka-GE"/>
        </w:rPr>
        <w:t>ში</w:t>
      </w:r>
      <w:r w:rsidR="002F423C" w:rsidRPr="00FE223D">
        <w:rPr>
          <w:rFonts w:ascii="Sylfaen" w:hAnsi="Sylfaen"/>
          <w:lang w:val="ka-GE"/>
        </w:rPr>
        <w:t xml:space="preserve"> შშმ პირთათვის </w:t>
      </w:r>
      <w:r w:rsidR="00211803" w:rsidRPr="00FE223D">
        <w:rPr>
          <w:rFonts w:ascii="Sylfaen" w:hAnsi="Sylfaen"/>
          <w:lang w:val="ka-GE"/>
        </w:rPr>
        <w:t xml:space="preserve">სამუშაო ადგილზე </w:t>
      </w:r>
      <w:r w:rsidR="002F423C" w:rsidRPr="00FE223D">
        <w:rPr>
          <w:rFonts w:ascii="Sylfaen" w:hAnsi="Sylfaen"/>
          <w:lang w:val="ka-GE"/>
        </w:rPr>
        <w:t xml:space="preserve">სპეციალური ღონისძიებების შესახებ. სუბსიდიების შესახებ შვედეთის რეგულაციებში დაფინანსების ჭერი (მაქსიმუმი) სახელმწიფოს ფინანსური მოსაზრებებისა და პოლიტიკური პრიორიტეტების შედეგია. მეტიც, მიუხედავად იმისა, რომ </w:t>
      </w:r>
      <w:r w:rsidR="002F423C" w:rsidRPr="00FE223D">
        <w:rPr>
          <w:rFonts w:ascii="Sylfaen" w:hAnsi="Sylfaen"/>
          <w:lang w:val="ka-GE"/>
        </w:rPr>
        <w:lastRenderedPageBreak/>
        <w:t xml:space="preserve">გამონაკლისები დასაშვებია, ეს უფლებამოსილება მხოლოდ შეზღუდულად გამოიყენება, როგორც უკიდურესი ზომა. მაგალითად, ის გამოიყენება იმ საქმეებში, სადაც </w:t>
      </w:r>
      <w:r w:rsidR="00C76F98" w:rsidRPr="00FE223D">
        <w:rPr>
          <w:rFonts w:ascii="Sylfaen" w:hAnsi="Sylfaen"/>
          <w:lang w:val="ka-GE"/>
        </w:rPr>
        <w:t>სახელმწიფო ორგანო</w:t>
      </w:r>
      <w:r w:rsidR="002F423C" w:rsidRPr="00FE223D">
        <w:rPr>
          <w:rFonts w:ascii="Sylfaen" w:hAnsi="Sylfaen"/>
          <w:lang w:val="ka-GE"/>
        </w:rPr>
        <w:t xml:space="preserve"> </w:t>
      </w:r>
      <w:r w:rsidR="00EA0BA9" w:rsidRPr="00FE223D">
        <w:rPr>
          <w:rFonts w:ascii="Sylfaen" w:hAnsi="Sylfaen"/>
          <w:lang w:val="ka-GE"/>
        </w:rPr>
        <w:t>მოცემული წლისთვის განკარგულებით რეგულირებულ ა</w:t>
      </w:r>
      <w:r w:rsidR="00C76F98" w:rsidRPr="00FE223D">
        <w:rPr>
          <w:rFonts w:ascii="Sylfaen" w:hAnsi="Sylfaen"/>
          <w:lang w:val="ka-GE"/>
        </w:rPr>
        <w:t>ნ</w:t>
      </w:r>
      <w:r w:rsidR="00EA0BA9" w:rsidRPr="00FE223D">
        <w:rPr>
          <w:rFonts w:ascii="Sylfaen" w:hAnsi="Sylfaen"/>
          <w:lang w:val="ka-GE"/>
        </w:rPr>
        <w:t xml:space="preserve">გარიშგების ვალდებულებას რაიმე მიზეზით ვერ ასრულებს. ამიტომ, სახელმწიფო მხარე ამტკიცებს, რომ წინამდებარე შეტყობინება კონვენციას არ არღვევს. </w:t>
      </w:r>
    </w:p>
    <w:p w14:paraId="3BE66D58" w14:textId="7A6C861A" w:rsidR="00F0037F" w:rsidRPr="00FE223D" w:rsidRDefault="00F0037F" w:rsidP="00417124">
      <w:pPr>
        <w:pStyle w:val="H1G"/>
        <w:rPr>
          <w:rFonts w:ascii="Sylfaen" w:hAnsi="Sylfaen"/>
        </w:rPr>
      </w:pPr>
      <w:r w:rsidRPr="00FE223D">
        <w:rPr>
          <w:rFonts w:ascii="Sylfaen" w:hAnsi="Sylfaen"/>
        </w:rPr>
        <w:tab/>
        <w:t>B.</w:t>
      </w:r>
      <w:r w:rsidRPr="00FE223D">
        <w:rPr>
          <w:rFonts w:ascii="Sylfaen" w:hAnsi="Sylfaen"/>
        </w:rPr>
        <w:tab/>
      </w:r>
      <w:r w:rsidR="00EA0BA9" w:rsidRPr="00FE223D">
        <w:rPr>
          <w:rFonts w:ascii="Sylfaen" w:hAnsi="Sylfaen"/>
          <w:lang w:val="ka-GE"/>
        </w:rPr>
        <w:t>კომიტეტის მოსაზრებები საქმის დასაშვებობ</w:t>
      </w:r>
      <w:r w:rsidR="002B7B6F" w:rsidRPr="00FE223D">
        <w:rPr>
          <w:rFonts w:ascii="Sylfaen" w:hAnsi="Sylfaen"/>
          <w:lang w:val="ka-GE"/>
        </w:rPr>
        <w:t>ი</w:t>
      </w:r>
      <w:r w:rsidR="00EA0BA9" w:rsidRPr="00FE223D">
        <w:rPr>
          <w:rFonts w:ascii="Sylfaen" w:hAnsi="Sylfaen"/>
          <w:lang w:val="ka-GE"/>
        </w:rPr>
        <w:t xml:space="preserve">სა და </w:t>
      </w:r>
      <w:r w:rsidR="002B7B6F" w:rsidRPr="00FE223D">
        <w:rPr>
          <w:rFonts w:ascii="Sylfaen" w:hAnsi="Sylfaen"/>
          <w:lang w:val="ka-GE"/>
        </w:rPr>
        <w:t>არსებითი მხარეების შესახებ</w:t>
      </w:r>
      <w:r w:rsidR="00EA0BA9" w:rsidRPr="00FE223D">
        <w:rPr>
          <w:rFonts w:ascii="Sylfaen" w:hAnsi="Sylfaen"/>
          <w:lang w:val="ka-GE"/>
        </w:rPr>
        <w:t xml:space="preserve"> </w:t>
      </w:r>
    </w:p>
    <w:p w14:paraId="5CCEB3D0" w14:textId="748D95A4" w:rsidR="005330A7" w:rsidRPr="00FE223D" w:rsidRDefault="00F0037F" w:rsidP="00FE4210">
      <w:pPr>
        <w:pStyle w:val="H23G"/>
        <w:rPr>
          <w:rFonts w:ascii="Sylfaen" w:hAnsi="Sylfaen"/>
          <w:lang w:val="ka-GE"/>
        </w:rPr>
      </w:pPr>
      <w:r w:rsidRPr="00FE223D">
        <w:rPr>
          <w:rFonts w:ascii="Sylfaen" w:hAnsi="Sylfaen"/>
        </w:rPr>
        <w:tab/>
      </w:r>
      <w:r w:rsidRPr="00FE223D">
        <w:rPr>
          <w:rFonts w:ascii="Sylfaen" w:hAnsi="Sylfaen"/>
        </w:rPr>
        <w:tab/>
      </w:r>
      <w:r w:rsidR="00EA0BA9" w:rsidRPr="00FE223D">
        <w:rPr>
          <w:rFonts w:ascii="Sylfaen" w:hAnsi="Sylfaen"/>
          <w:lang w:val="ka-GE"/>
        </w:rPr>
        <w:t>მოსაზრებები საქმის დასაშვებობის შესახებ</w:t>
      </w:r>
    </w:p>
    <w:p w14:paraId="59125D02" w14:textId="39418890" w:rsidR="00E7487E" w:rsidRPr="00FE223D" w:rsidRDefault="00F0037F" w:rsidP="00E7487E">
      <w:pPr>
        <w:pStyle w:val="SingleTxtG"/>
        <w:rPr>
          <w:rFonts w:ascii="Sylfaen" w:hAnsi="Sylfaen"/>
          <w:lang w:val="ka-GE"/>
        </w:rPr>
      </w:pPr>
      <w:r w:rsidRPr="00FE223D">
        <w:rPr>
          <w:rFonts w:ascii="Sylfaen" w:hAnsi="Sylfaen"/>
        </w:rPr>
        <w:t>7.1</w:t>
      </w:r>
      <w:r w:rsidRPr="00FE223D">
        <w:rPr>
          <w:rFonts w:ascii="Sylfaen" w:hAnsi="Sylfaen"/>
        </w:rPr>
        <w:tab/>
      </w:r>
      <w:r w:rsidR="00E7487E" w:rsidRPr="00FE223D">
        <w:rPr>
          <w:rFonts w:ascii="Sylfaen" w:hAnsi="Sylfaen"/>
          <w:lang w:val="ka-GE"/>
        </w:rPr>
        <w:t xml:space="preserve">შეტყობინებაში მოცემული ნებისმიერი მტკიცების განხილვამდე, კომიტეტმა უნდა გადაწყვიტოს, ფაკულტატური ოქმის მე-2 მუხლისა და მისი პროცედურილი წესების 65-ე წესის შესაბამისად, ფაკულტატური ოქმის მიხედვით, საქმე დასაშვებია თუ არა. </w:t>
      </w:r>
    </w:p>
    <w:p w14:paraId="5E4364AE" w14:textId="110C3046" w:rsidR="00E7487E" w:rsidRPr="00FE223D" w:rsidRDefault="00F0037F" w:rsidP="007B0B93">
      <w:pPr>
        <w:pStyle w:val="SingleTxtG"/>
        <w:rPr>
          <w:rFonts w:ascii="Sylfaen" w:hAnsi="Sylfaen"/>
          <w:lang w:val="ka-GE"/>
        </w:rPr>
      </w:pPr>
      <w:r w:rsidRPr="00FE223D">
        <w:rPr>
          <w:rFonts w:ascii="Sylfaen" w:hAnsi="Sylfaen"/>
        </w:rPr>
        <w:t>7.2</w:t>
      </w:r>
      <w:r w:rsidRPr="00FE223D">
        <w:rPr>
          <w:rFonts w:ascii="Sylfaen" w:hAnsi="Sylfaen"/>
        </w:rPr>
        <w:tab/>
      </w:r>
      <w:r w:rsidR="006E27DA" w:rsidRPr="00FE223D">
        <w:rPr>
          <w:rFonts w:ascii="Sylfaen" w:hAnsi="Sylfaen"/>
          <w:lang w:val="ka-GE"/>
        </w:rPr>
        <w:t>ფაკულტატური ოქმის მე-2 (</w:t>
      </w:r>
      <w:r w:rsidR="006E27DA" w:rsidRPr="00FE223D">
        <w:rPr>
          <w:rFonts w:ascii="Sylfaen" w:hAnsi="Sylfaen"/>
          <w:lang w:val="en-US"/>
        </w:rPr>
        <w:t xml:space="preserve">c) </w:t>
      </w:r>
      <w:r w:rsidR="006E27DA" w:rsidRPr="00FE223D">
        <w:rPr>
          <w:rFonts w:ascii="Sylfaen" w:hAnsi="Sylfaen"/>
          <w:lang w:val="ka-GE"/>
        </w:rPr>
        <w:t xml:space="preserve">მუხლის მოთხოვნების შესაბამისად, </w:t>
      </w:r>
      <w:r w:rsidR="00E7487E" w:rsidRPr="00FE223D">
        <w:rPr>
          <w:rFonts w:ascii="Sylfaen" w:hAnsi="Sylfaen"/>
          <w:lang w:val="ka-GE"/>
        </w:rPr>
        <w:t xml:space="preserve">კომიტეტმა დაადგინა, </w:t>
      </w:r>
      <w:r w:rsidR="006E27DA" w:rsidRPr="00FE223D">
        <w:rPr>
          <w:rFonts w:ascii="Sylfaen" w:hAnsi="Sylfaen"/>
          <w:lang w:val="ka-GE"/>
        </w:rPr>
        <w:t xml:space="preserve">რომ, საერთაშორისო გამოძიების ან მოგვარების სხვა პროცედურის ფარგლებში, მსგავსი საკითხი კომიტეტს ჯერ არ განუხილავს და </w:t>
      </w:r>
      <w:r w:rsidR="00C76F98" w:rsidRPr="00FE223D">
        <w:rPr>
          <w:rFonts w:ascii="Sylfaen" w:hAnsi="Sylfaen"/>
          <w:lang w:val="ka-GE"/>
        </w:rPr>
        <w:t xml:space="preserve">ის </w:t>
      </w:r>
      <w:r w:rsidR="006E27DA" w:rsidRPr="00FE223D">
        <w:rPr>
          <w:rFonts w:ascii="Sylfaen" w:hAnsi="Sylfaen"/>
          <w:lang w:val="ka-GE"/>
        </w:rPr>
        <w:t xml:space="preserve">ამჟამადაც არ განიხილება. </w:t>
      </w:r>
    </w:p>
    <w:p w14:paraId="600E5BAB" w14:textId="3C6D3F10" w:rsidR="000F3781" w:rsidRPr="00FE223D" w:rsidRDefault="00F0037F" w:rsidP="000F3781">
      <w:pPr>
        <w:pStyle w:val="SingleTxtG"/>
        <w:rPr>
          <w:rFonts w:ascii="Sylfaen" w:hAnsi="Sylfaen"/>
          <w:lang w:val="ka-GE"/>
        </w:rPr>
      </w:pPr>
      <w:r w:rsidRPr="00FE223D">
        <w:rPr>
          <w:rFonts w:ascii="Sylfaen" w:hAnsi="Sylfaen"/>
        </w:rPr>
        <w:t>7.3</w:t>
      </w:r>
      <w:r w:rsidRPr="00FE223D">
        <w:rPr>
          <w:rFonts w:ascii="Sylfaen" w:hAnsi="Sylfaen"/>
        </w:rPr>
        <w:tab/>
      </w:r>
      <w:r w:rsidR="006E27DA" w:rsidRPr="00FE223D">
        <w:rPr>
          <w:rFonts w:ascii="Sylfaen" w:hAnsi="Sylfaen"/>
          <w:lang w:val="ka-GE"/>
        </w:rPr>
        <w:t xml:space="preserve">კომიტეტი აღნიშნავს, რომ სახელმწიფო მხარე, პირველ რიგში, ამტკიცებს, რომ ავტორს ყველა შესაძლო ადგილობრივი სამართლებრივი საშუალება არ ამოუწურავს, რამდენადაც მას ადმინისტრაციული სააპელაციო სასამართლოს 2017 წლის 7 აპრილის გადაწყვეტილება უზენაეს ადმინისტრაციულ სასამართლოში არ გაუსაჩივრებია. </w:t>
      </w:r>
      <w:r w:rsidR="00C505B2" w:rsidRPr="00FE223D">
        <w:rPr>
          <w:rFonts w:ascii="Sylfaen" w:hAnsi="Sylfaen"/>
          <w:lang w:val="ka-GE"/>
        </w:rPr>
        <w:t>გასაჩივრებას, შესაძლოა, შედეგი</w:t>
      </w:r>
      <w:r w:rsidR="00C76F98" w:rsidRPr="00FE223D">
        <w:rPr>
          <w:rFonts w:ascii="Sylfaen" w:hAnsi="Sylfaen"/>
          <w:lang w:val="ka-GE"/>
        </w:rPr>
        <w:t xml:space="preserve"> </w:t>
      </w:r>
      <w:r w:rsidR="00C76F98" w:rsidRPr="00FE223D">
        <w:rPr>
          <w:rFonts w:ascii="Sylfaen" w:hAnsi="Sylfaen"/>
          <w:lang w:val="ka-GE"/>
        </w:rPr>
        <w:t>გამოეღო</w:t>
      </w:r>
      <w:r w:rsidR="007B3424" w:rsidRPr="00FE223D">
        <w:rPr>
          <w:rFonts w:ascii="Sylfaen" w:hAnsi="Sylfaen"/>
          <w:lang w:val="ka-GE"/>
        </w:rPr>
        <w:t>,</w:t>
      </w:r>
      <w:r w:rsidR="00C505B2" w:rsidRPr="00FE223D">
        <w:rPr>
          <w:rFonts w:ascii="Sylfaen" w:hAnsi="Sylfaen"/>
          <w:lang w:val="ka-GE"/>
        </w:rPr>
        <w:t xml:space="preserve"> ავტორისთვის უნივერსიტეტის გადაწყვეტილების გასაჩივრების უფლება მიეცათ და უნივერსიტეტის გადაწყვეტილების გაუქმების შესახებ</w:t>
      </w:r>
      <w:r w:rsidR="007B3424" w:rsidRPr="00FE223D">
        <w:rPr>
          <w:rFonts w:ascii="Sylfaen" w:hAnsi="Sylfaen"/>
          <w:lang w:val="ka-GE"/>
        </w:rPr>
        <w:t xml:space="preserve"> მისი მოთხოვნა</w:t>
      </w:r>
      <w:r w:rsidR="007B3424" w:rsidRPr="00FE223D">
        <w:rPr>
          <w:rFonts w:ascii="Sylfaen" w:hAnsi="Sylfaen"/>
          <w:lang w:val="ka-GE"/>
        </w:rPr>
        <w:t xml:space="preserve"> </w:t>
      </w:r>
      <w:r w:rsidR="007B3424" w:rsidRPr="00FE223D">
        <w:rPr>
          <w:rFonts w:ascii="Sylfaen" w:hAnsi="Sylfaen"/>
          <w:lang w:val="ka-GE"/>
        </w:rPr>
        <w:t>განეხილათ</w:t>
      </w:r>
      <w:r w:rsidR="00C505B2" w:rsidRPr="00FE223D">
        <w:rPr>
          <w:rFonts w:ascii="Sylfaen" w:hAnsi="Sylfaen"/>
          <w:lang w:val="ka-GE"/>
        </w:rPr>
        <w:t xml:space="preserve">. კომიტეტი დამატებით აღნიშნავს, რომ სახელმწიფო მხარის თქმით, არაფერი მიუთითებს იმაზე, რომ გასაჩივრება წარმატებით არ დასრულდებოდა ან არაგონივრულად გაჭიანურდებოდა. თუმცა კომიტეტი შენიშნავს, რომ როგორც სახელმწიფო მხარემ აცნობა, დისკრიმინაციის </w:t>
      </w:r>
      <w:r w:rsidR="00D9638F" w:rsidRPr="00FE223D">
        <w:rPr>
          <w:rFonts w:ascii="Sylfaen" w:hAnsi="Sylfaen"/>
          <w:lang w:val="ka-GE"/>
        </w:rPr>
        <w:t xml:space="preserve">შესახებ </w:t>
      </w:r>
      <w:r w:rsidR="00C505B2" w:rsidRPr="00FE223D">
        <w:rPr>
          <w:rFonts w:ascii="Sylfaen" w:hAnsi="Sylfaen"/>
          <w:lang w:val="ka-GE"/>
        </w:rPr>
        <w:t xml:space="preserve">კანონის მე-6 თავი </w:t>
      </w:r>
      <w:r w:rsidR="00C017FD" w:rsidRPr="00FE223D">
        <w:rPr>
          <w:rFonts w:ascii="Sylfaen" w:hAnsi="Sylfaen"/>
          <w:lang w:val="ka-GE"/>
        </w:rPr>
        <w:t>პროცედურული წესების შესახებ დებულებებს მოიცავს, რომლებიც ამ კანონთან დაკავშირებული დავების დროს უნდა იქნას გამოყენებული. დავები შრომითი დავების სასამართლო საპროცესო აქტის მიხედვით განიხილება. ისინი უშუალოდ შრომის სასამართლოში წარსდგებიან, როგორც პირველ და ერთადერთ ინსტანციაში (როგორც მოცემულ საქმეში) ან რაიონულ სასამართლოში, როგორც პირველ ინსტანციაში, შრომის სასამართლოში საბოლოო გასაჩივრების შესაძლებლობით.</w:t>
      </w:r>
      <w:r w:rsidR="00246CD1" w:rsidRPr="00FE223D">
        <w:rPr>
          <w:rFonts w:ascii="Sylfaen" w:hAnsi="Sylfaen"/>
          <w:lang w:val="ka-GE"/>
        </w:rPr>
        <w:t xml:space="preserve"> </w:t>
      </w:r>
      <w:r w:rsidR="00C017FD" w:rsidRPr="00FE223D">
        <w:rPr>
          <w:rFonts w:ascii="Sylfaen" w:hAnsi="Sylfaen"/>
          <w:lang w:val="ka-GE"/>
        </w:rPr>
        <w:t xml:space="preserve">გარდა ამისა, ადმინისტრაციული </w:t>
      </w:r>
      <w:r w:rsidR="00F25F06" w:rsidRPr="00FE223D">
        <w:rPr>
          <w:rFonts w:ascii="Sylfaen" w:hAnsi="Sylfaen"/>
          <w:lang w:val="ka-GE"/>
        </w:rPr>
        <w:t xml:space="preserve">საპროცესო კანონის 22-ე მუხლის თანახმად, პირს შრომის სასამართლოს მიერ მიღებული გადაწყვეტილების გასაჩივრება </w:t>
      </w:r>
      <w:r w:rsidR="007B3424" w:rsidRPr="00FE223D">
        <w:rPr>
          <w:rFonts w:ascii="Sylfaen" w:hAnsi="Sylfaen"/>
          <w:lang w:val="ka-GE"/>
        </w:rPr>
        <w:t>იმ პირობით</w:t>
      </w:r>
      <w:r w:rsidR="007B3424" w:rsidRPr="00FE223D">
        <w:rPr>
          <w:rFonts w:ascii="Sylfaen" w:hAnsi="Sylfaen"/>
          <w:lang w:val="ka-GE"/>
        </w:rPr>
        <w:t xml:space="preserve"> </w:t>
      </w:r>
      <w:r w:rsidR="00F25F06" w:rsidRPr="00FE223D">
        <w:rPr>
          <w:rFonts w:ascii="Sylfaen" w:hAnsi="Sylfaen"/>
          <w:lang w:val="ka-GE"/>
        </w:rPr>
        <w:t xml:space="preserve">შეუძლია, </w:t>
      </w:r>
      <w:r w:rsidR="007B3424" w:rsidRPr="00FE223D">
        <w:rPr>
          <w:rFonts w:ascii="Sylfaen" w:hAnsi="Sylfaen"/>
          <w:lang w:val="ka-GE"/>
        </w:rPr>
        <w:t>თუ</w:t>
      </w:r>
      <w:r w:rsidR="00F25F06" w:rsidRPr="00FE223D">
        <w:rPr>
          <w:rFonts w:ascii="Sylfaen" w:hAnsi="Sylfaen"/>
          <w:lang w:val="ka-GE"/>
        </w:rPr>
        <w:t xml:space="preserve"> გადაწყვეტილება მასზე უარყოფითად მოქმედებს და ამიტომ, სადავო საკითხი გასაჩივრებას ექვემდებარება. ამავე კანონის 22</w:t>
      </w:r>
      <w:r w:rsidR="00F25F06" w:rsidRPr="00FE223D">
        <w:rPr>
          <w:rFonts w:ascii="Sylfaen" w:hAnsi="Sylfaen"/>
          <w:lang w:val="en-US"/>
        </w:rPr>
        <w:t xml:space="preserve">a </w:t>
      </w:r>
      <w:r w:rsidR="00F25F06" w:rsidRPr="00FE223D">
        <w:rPr>
          <w:rFonts w:ascii="Sylfaen" w:hAnsi="Sylfaen"/>
          <w:lang w:val="ka-GE"/>
        </w:rPr>
        <w:t xml:space="preserve">მუხლიდან გამომდინარე, გასაჩივრება საერთო ადმინისტრაციულ სასამართლოშია შესაძლებელი, თუმცა ეს დასაქმების საკითხებზე გადაწყვეტილებებს არ ეხება (იხ. პარაგრაფი 4.11). მოცემულ საქმეში, როგორც ადმინისტრაციულმა სასამართლომ დაასკვნა, ავტორის სარჩელი ცალსახად დასაქმების საკითხებს ეხება და სამოქალაქო სარჩელს არ წარმოადგენს. როგორც ავტორს თანასწორობის ომბუდსმენმა, „დისკრიმინაციის </w:t>
      </w:r>
      <w:r w:rsidR="00246CD1" w:rsidRPr="00FE223D">
        <w:rPr>
          <w:rFonts w:ascii="Sylfaen" w:hAnsi="Sylfaen"/>
          <w:lang w:val="ka-GE"/>
        </w:rPr>
        <w:t>საკითხში სპეციალიზირებულმა საჯარო ორგანომ“ (იხ. პარაგრაფი 4.20)</w:t>
      </w:r>
      <w:r w:rsidR="007B3424" w:rsidRPr="00FE223D">
        <w:rPr>
          <w:rFonts w:ascii="Sylfaen" w:hAnsi="Sylfaen"/>
          <w:lang w:val="ka-GE"/>
        </w:rPr>
        <w:t>,</w:t>
      </w:r>
      <w:r w:rsidR="00246CD1" w:rsidRPr="00FE223D">
        <w:rPr>
          <w:rFonts w:ascii="Sylfaen" w:hAnsi="Sylfaen"/>
          <w:lang w:val="ka-GE"/>
        </w:rPr>
        <w:t xml:space="preserve"> </w:t>
      </w:r>
      <w:r w:rsidR="00F25F06" w:rsidRPr="00FE223D">
        <w:rPr>
          <w:rFonts w:ascii="Sylfaen" w:hAnsi="Sylfaen"/>
          <w:lang w:val="ka-GE"/>
        </w:rPr>
        <w:t>აცნობა</w:t>
      </w:r>
      <w:r w:rsidR="00246CD1" w:rsidRPr="00FE223D">
        <w:rPr>
          <w:rFonts w:ascii="Sylfaen" w:hAnsi="Sylfaen"/>
          <w:lang w:val="ka-GE"/>
        </w:rPr>
        <w:t xml:space="preserve">, უზენაეს ადმინისტრაციულ სასამართლოში გასაჩივრებას, ნაკლებ სავარაუდოა, </w:t>
      </w:r>
      <w:r w:rsidR="007B3424" w:rsidRPr="00FE223D">
        <w:rPr>
          <w:rFonts w:ascii="Sylfaen" w:hAnsi="Sylfaen"/>
          <w:lang w:val="ka-GE"/>
        </w:rPr>
        <w:t xml:space="preserve">ავტორისთვის </w:t>
      </w:r>
      <w:r w:rsidR="00246CD1" w:rsidRPr="00FE223D">
        <w:rPr>
          <w:rFonts w:ascii="Sylfaen" w:hAnsi="Sylfaen"/>
          <w:lang w:val="ka-GE"/>
        </w:rPr>
        <w:t xml:space="preserve">ეფექტური შეღავათი მოეტანა. </w:t>
      </w:r>
    </w:p>
    <w:p w14:paraId="662EC61B" w14:textId="5B893DFD" w:rsidR="00246CD1" w:rsidRPr="00FE223D" w:rsidRDefault="00F0037F" w:rsidP="000F3781">
      <w:pPr>
        <w:pStyle w:val="SingleTxtG"/>
        <w:rPr>
          <w:rFonts w:ascii="Sylfaen" w:hAnsi="Sylfaen"/>
          <w:lang w:val="ka-GE"/>
        </w:rPr>
      </w:pPr>
      <w:r w:rsidRPr="00FE223D">
        <w:rPr>
          <w:rFonts w:ascii="Sylfaen" w:hAnsi="Sylfaen"/>
        </w:rPr>
        <w:t>7.4</w:t>
      </w:r>
      <w:r w:rsidRPr="00FE223D">
        <w:rPr>
          <w:rFonts w:ascii="Sylfaen" w:hAnsi="Sylfaen"/>
        </w:rPr>
        <w:tab/>
      </w:r>
      <w:r w:rsidR="00246CD1" w:rsidRPr="00FE223D">
        <w:rPr>
          <w:rFonts w:ascii="Sylfaen" w:hAnsi="Sylfaen"/>
          <w:lang w:val="ka-GE"/>
        </w:rPr>
        <w:t xml:space="preserve">კომიტეტი დამატებით </w:t>
      </w:r>
      <w:r w:rsidR="007B3424" w:rsidRPr="00FE223D">
        <w:rPr>
          <w:rFonts w:ascii="Sylfaen" w:hAnsi="Sylfaen"/>
          <w:lang w:val="ka-GE"/>
        </w:rPr>
        <w:t xml:space="preserve">იხმობს </w:t>
      </w:r>
      <w:r w:rsidR="00246CD1" w:rsidRPr="00FE223D">
        <w:rPr>
          <w:rFonts w:ascii="Sylfaen" w:hAnsi="Sylfaen"/>
          <w:lang w:val="ka-GE"/>
        </w:rPr>
        <w:t>სახელმწიფო მხარის არგუმენტ</w:t>
      </w:r>
      <w:r w:rsidR="007B3424" w:rsidRPr="00FE223D">
        <w:rPr>
          <w:rFonts w:ascii="Sylfaen" w:hAnsi="Sylfaen"/>
          <w:lang w:val="ka-GE"/>
        </w:rPr>
        <w:t>ს</w:t>
      </w:r>
      <w:r w:rsidR="00246CD1" w:rsidRPr="00FE223D">
        <w:rPr>
          <w:rFonts w:ascii="Sylfaen" w:hAnsi="Sylfaen"/>
          <w:lang w:val="ka-GE"/>
        </w:rPr>
        <w:t xml:space="preserve">, რომ ავტორის საჩივარი ნაწილობრივ დაუშვებლად უნდა ჩაითვალოს, რადგან </w:t>
      </w:r>
      <w:r w:rsidR="00F75F74" w:rsidRPr="00FE223D">
        <w:rPr>
          <w:rFonts w:ascii="Sylfaen" w:hAnsi="Sylfaen"/>
          <w:lang w:val="ka-GE"/>
        </w:rPr>
        <w:t xml:space="preserve">ავტორს შრომის სასამართლოში სიტყვასიტყვით არ წამოუყენებია გონივრული </w:t>
      </w:r>
      <w:r w:rsidR="00F75F74" w:rsidRPr="00FE223D">
        <w:rPr>
          <w:rFonts w:ascii="Sylfaen" w:hAnsi="Sylfaen"/>
          <w:lang w:val="ka-GE"/>
        </w:rPr>
        <w:lastRenderedPageBreak/>
        <w:t>მისადაგების ღონისძიებების არასაკმარისი შესწავლის საკითხი. შესაბამისად, ეს საკითხი არ ყოფილა განხილული</w:t>
      </w:r>
      <w:r w:rsidR="00ED6DDE" w:rsidRPr="00FE223D">
        <w:rPr>
          <w:rFonts w:ascii="Sylfaen" w:hAnsi="Sylfaen"/>
          <w:lang w:val="ka-GE"/>
        </w:rPr>
        <w:t xml:space="preserve"> უნივერსიტეტის მოქმედებების შეფასებისას. ამასთან დაკავშირებით, კომიტეტი აღნიშნავს</w:t>
      </w:r>
      <w:r w:rsidR="007B3424" w:rsidRPr="00FE223D">
        <w:rPr>
          <w:rFonts w:ascii="Sylfaen" w:hAnsi="Sylfaen"/>
          <w:lang w:val="ka-GE"/>
        </w:rPr>
        <w:t>, რომ ავტორი დაეთანხმა</w:t>
      </w:r>
      <w:r w:rsidR="00ED6DDE" w:rsidRPr="00FE223D">
        <w:rPr>
          <w:rFonts w:ascii="Sylfaen" w:hAnsi="Sylfaen"/>
          <w:lang w:val="ka-GE"/>
        </w:rPr>
        <w:t xml:space="preserve"> სახელმწიფო მხარის პოზიციას, რომ შრომის სასამართლოში სამართალწარმოება არასაკმარის შესწავლაზე არ ფოკუსირდებოდა</w:t>
      </w:r>
      <w:r w:rsidR="007B3424" w:rsidRPr="00FE223D">
        <w:rPr>
          <w:rFonts w:ascii="Sylfaen" w:hAnsi="Sylfaen"/>
          <w:lang w:val="ka-GE"/>
        </w:rPr>
        <w:t xml:space="preserve">. </w:t>
      </w:r>
      <w:r w:rsidR="00ED6DDE" w:rsidRPr="00FE223D">
        <w:rPr>
          <w:rFonts w:ascii="Sylfaen" w:hAnsi="Sylfaen"/>
          <w:lang w:val="ka-GE"/>
        </w:rPr>
        <w:t xml:space="preserve">თუმცა ის ასევე აღნიშნავს, რომ არასაკმარისი შესწავლაზე </w:t>
      </w:r>
      <w:r w:rsidR="00440EF1" w:rsidRPr="00FE223D">
        <w:rPr>
          <w:rFonts w:ascii="Sylfaen" w:hAnsi="Sylfaen"/>
          <w:lang w:val="ka-GE"/>
        </w:rPr>
        <w:t>ომბუდსმე</w:t>
      </w:r>
      <w:r w:rsidR="00ED6DDE" w:rsidRPr="00FE223D">
        <w:rPr>
          <w:rFonts w:ascii="Sylfaen" w:hAnsi="Sylfaen"/>
          <w:lang w:val="ka-GE"/>
        </w:rPr>
        <w:t xml:space="preserve">ნს ყურადღება </w:t>
      </w:r>
      <w:r w:rsidR="007B3424" w:rsidRPr="00FE223D">
        <w:rPr>
          <w:rFonts w:ascii="Sylfaen" w:hAnsi="Sylfaen"/>
          <w:lang w:val="ka-GE"/>
        </w:rPr>
        <w:t>ავტორმა</w:t>
      </w:r>
      <w:r w:rsidR="00ED6DDE" w:rsidRPr="00FE223D">
        <w:rPr>
          <w:rFonts w:ascii="Sylfaen" w:hAnsi="Sylfaen"/>
          <w:lang w:val="ka-GE"/>
        </w:rPr>
        <w:t xml:space="preserve"> გაამახვილებინა და რომ </w:t>
      </w:r>
      <w:r w:rsidR="007B3424" w:rsidRPr="00FE223D">
        <w:rPr>
          <w:rFonts w:ascii="Sylfaen" w:hAnsi="Sylfaen"/>
          <w:lang w:val="ka-GE"/>
        </w:rPr>
        <w:t>მისი</w:t>
      </w:r>
      <w:r w:rsidR="00ED6DDE" w:rsidRPr="00FE223D">
        <w:rPr>
          <w:rFonts w:ascii="Sylfaen" w:hAnsi="Sylfaen"/>
          <w:lang w:val="ka-GE"/>
        </w:rPr>
        <w:t xml:space="preserve"> საჩივარი აშკარად მოიცავდა გონივრული მისადაგების საკითხებს, რაც, თავისთავად</w:t>
      </w:r>
      <w:r w:rsidR="00031E59" w:rsidRPr="00FE223D">
        <w:rPr>
          <w:rFonts w:ascii="Sylfaen" w:hAnsi="Sylfaen"/>
          <w:lang w:val="ka-GE"/>
        </w:rPr>
        <w:t xml:space="preserve">, იმის სისტემატურ ანალიზს გულისხმობს, თუ რომელი ალტერნატიული ღონისძიებები განიხილებოდა დამსაქმებლის მიერ. </w:t>
      </w:r>
      <w:r w:rsidR="00031E59" w:rsidRPr="00FE223D">
        <w:rPr>
          <w:rFonts w:ascii="Sylfaen" w:hAnsi="Sylfaen"/>
          <w:lang w:val="en-US"/>
        </w:rPr>
        <w:t>J</w:t>
      </w:r>
      <w:r w:rsidR="00031E59" w:rsidRPr="00FE223D">
        <w:rPr>
          <w:rFonts w:ascii="Sylfaen" w:hAnsi="Sylfaen"/>
        </w:rPr>
        <w:t>ura novit curia</w:t>
      </w:r>
      <w:r w:rsidR="00031E59" w:rsidRPr="00FE223D">
        <w:rPr>
          <w:rFonts w:ascii="Sylfaen" w:hAnsi="Sylfaen"/>
          <w:lang w:val="ka-GE"/>
        </w:rPr>
        <w:t xml:space="preserve"> პრინციპის შესაბამისად, კანონის </w:t>
      </w:r>
      <w:r w:rsidR="00226359" w:rsidRPr="00FE223D">
        <w:rPr>
          <w:rFonts w:ascii="Sylfaen" w:hAnsi="Sylfaen"/>
          <w:lang w:val="ka-GE"/>
        </w:rPr>
        <w:t xml:space="preserve">პუნქტის პირდაპირი მნიშვნელობით </w:t>
      </w:r>
      <w:r w:rsidR="00994E5A" w:rsidRPr="00FE223D">
        <w:rPr>
          <w:rFonts w:ascii="Sylfaen" w:hAnsi="Sylfaen"/>
          <w:lang w:val="ka-GE"/>
        </w:rPr>
        <w:t>გაგება</w:t>
      </w:r>
      <w:r w:rsidR="00226359" w:rsidRPr="00FE223D">
        <w:rPr>
          <w:rFonts w:ascii="Sylfaen" w:hAnsi="Sylfaen"/>
          <w:lang w:val="ka-GE"/>
        </w:rPr>
        <w:t xml:space="preserve"> იურისდიქციის</w:t>
      </w:r>
      <w:r w:rsidR="00C60494" w:rsidRPr="00FE223D">
        <w:rPr>
          <w:rFonts w:ascii="Sylfaen" w:hAnsi="Sylfaen"/>
          <w:lang w:val="ka-GE"/>
        </w:rPr>
        <w:t>თვის</w:t>
      </w:r>
      <w:r w:rsidR="00226359" w:rsidRPr="00FE223D">
        <w:rPr>
          <w:rFonts w:ascii="Sylfaen" w:hAnsi="Sylfaen"/>
          <w:lang w:val="ka-GE"/>
        </w:rPr>
        <w:t xml:space="preserve"> </w:t>
      </w:r>
      <w:r w:rsidR="0068110E" w:rsidRPr="00FE223D">
        <w:rPr>
          <w:rFonts w:ascii="Sylfaen" w:hAnsi="Sylfaen"/>
          <w:lang w:val="ka-GE"/>
        </w:rPr>
        <w:t xml:space="preserve">(რომელიც მიმართავს საკითხს, რომელიც ცალსახად საჩივრის საგანია) </w:t>
      </w:r>
      <w:r w:rsidR="00226359" w:rsidRPr="00FE223D">
        <w:rPr>
          <w:rFonts w:ascii="Sylfaen" w:hAnsi="Sylfaen"/>
          <w:lang w:val="ka-GE"/>
        </w:rPr>
        <w:t>ხელის შემშლელად არ მიიჩნევა</w:t>
      </w:r>
      <w:r w:rsidR="0068110E" w:rsidRPr="00FE223D">
        <w:rPr>
          <w:rFonts w:ascii="Sylfaen" w:hAnsi="Sylfaen"/>
          <w:lang w:val="ka-GE"/>
        </w:rPr>
        <w:t>, სანამ ის შეტყობინებაში არსებულ მტკიცებებ</w:t>
      </w:r>
      <w:r w:rsidR="000F3781" w:rsidRPr="00FE223D">
        <w:rPr>
          <w:rFonts w:ascii="Sylfaen" w:hAnsi="Sylfaen"/>
          <w:lang w:val="ka-GE"/>
        </w:rPr>
        <w:t>ს არ უგულებელყოფს. აქედან გამომდინარე, კომიტეტი ასკვნის, რომ ავტორმა ყველა ხელმისაწვდომი ადგილობრივი სამართლებრივი საშუალება ამოწურა, ფაკულტატური ოქმის მე-2 მუხლის (</w:t>
      </w:r>
      <w:r w:rsidR="000F3781" w:rsidRPr="00FE223D">
        <w:rPr>
          <w:rFonts w:ascii="Sylfaen" w:hAnsi="Sylfaen"/>
          <w:lang w:val="en-US"/>
        </w:rPr>
        <w:t>d)</w:t>
      </w:r>
      <w:r w:rsidR="000F3781" w:rsidRPr="00FE223D">
        <w:rPr>
          <w:rFonts w:ascii="Sylfaen" w:hAnsi="Sylfaen"/>
          <w:lang w:val="ka-GE"/>
        </w:rPr>
        <w:t xml:space="preserve"> პუნქტის შესაბამისად. </w:t>
      </w:r>
    </w:p>
    <w:p w14:paraId="7B9DA438" w14:textId="1BBEF451" w:rsidR="00C60494" w:rsidRPr="00FE223D" w:rsidRDefault="00F0037F" w:rsidP="007B0B93">
      <w:pPr>
        <w:pStyle w:val="SingleTxtG"/>
        <w:rPr>
          <w:rFonts w:ascii="Sylfaen" w:hAnsi="Sylfaen"/>
          <w:lang w:val="ka-GE"/>
        </w:rPr>
      </w:pPr>
      <w:r w:rsidRPr="00FE223D">
        <w:rPr>
          <w:rFonts w:ascii="Sylfaen" w:hAnsi="Sylfaen"/>
        </w:rPr>
        <w:t>7.5</w:t>
      </w:r>
      <w:r w:rsidRPr="00FE223D">
        <w:rPr>
          <w:rFonts w:ascii="Sylfaen" w:hAnsi="Sylfaen"/>
        </w:rPr>
        <w:tab/>
      </w:r>
      <w:r w:rsidR="00C60494" w:rsidRPr="00FE223D">
        <w:rPr>
          <w:rFonts w:ascii="Sylfaen" w:hAnsi="Sylfaen"/>
          <w:lang w:val="ka-GE"/>
        </w:rPr>
        <w:t>შემდეგ კომიტეტი აღნიშნავს სახელმწიფო მხარის არგუმენტს, რომ ავტორის საჩივარი, დასაბუთების არარსებობის გამო, ფაკულტატური ოქმის მე-2 (</w:t>
      </w:r>
      <w:r w:rsidR="00C60494" w:rsidRPr="00FE223D">
        <w:rPr>
          <w:rFonts w:ascii="Sylfaen" w:hAnsi="Sylfaen"/>
          <w:lang w:val="en-US"/>
        </w:rPr>
        <w:t xml:space="preserve">e) </w:t>
      </w:r>
      <w:r w:rsidR="00C60494" w:rsidRPr="00FE223D">
        <w:rPr>
          <w:rFonts w:ascii="Sylfaen" w:hAnsi="Sylfaen"/>
          <w:lang w:val="ka-GE"/>
        </w:rPr>
        <w:t xml:space="preserve">მუხლის შესაბამისად, </w:t>
      </w:r>
      <w:r w:rsidR="004119B0" w:rsidRPr="00FE223D">
        <w:rPr>
          <w:rFonts w:ascii="Sylfaen" w:hAnsi="Sylfaen"/>
          <w:lang w:val="ka-GE"/>
        </w:rPr>
        <w:t xml:space="preserve">დაუშვებელი უნდა იყოს, </w:t>
      </w:r>
      <w:r w:rsidR="00C60494" w:rsidRPr="00FE223D">
        <w:rPr>
          <w:rFonts w:ascii="Sylfaen" w:hAnsi="Sylfaen"/>
          <w:lang w:val="ka-GE"/>
        </w:rPr>
        <w:t xml:space="preserve">რადგან </w:t>
      </w:r>
      <w:r w:rsidR="00FB12E5" w:rsidRPr="00FE223D">
        <w:rPr>
          <w:rFonts w:ascii="Sylfaen" w:hAnsi="Sylfaen"/>
          <w:lang w:val="ka-GE"/>
        </w:rPr>
        <w:t xml:space="preserve">სახელმწიფო მხარე </w:t>
      </w:r>
      <w:r w:rsidR="00C60494" w:rsidRPr="00FE223D">
        <w:rPr>
          <w:rFonts w:ascii="Sylfaen" w:hAnsi="Sylfaen"/>
          <w:lang w:val="ka-GE"/>
        </w:rPr>
        <w:t xml:space="preserve">მიიჩნევს, რომ </w:t>
      </w:r>
      <w:r w:rsidR="00FB12E5" w:rsidRPr="00FE223D">
        <w:rPr>
          <w:rFonts w:ascii="Sylfaen" w:hAnsi="Sylfaen"/>
          <w:lang w:val="ka-GE"/>
        </w:rPr>
        <w:t xml:space="preserve">„შრომის სასამართლოს წინაშე ადგილობრივი სამართალწარმოება და სასამართლოს შეფასება მაღალი სტანდარტისაა და [...] არ არსებობს მინიშნება იმისა, რომ ისინი თვითნებური ან ხარვეზიანია, ან სამართლიანობის უარყოფას უდრის. აგრეთვე, არ არსებობს იმის მინიშნებაც, რომ მათ ვერ დაიცვეს ავტორი დისკრიმინაციისგან.“ მიუხედავად ამისა, კომიტეტი </w:t>
      </w:r>
      <w:r w:rsidR="00994E5A" w:rsidRPr="00FE223D">
        <w:rPr>
          <w:rFonts w:ascii="Sylfaen" w:hAnsi="Sylfaen"/>
          <w:lang w:val="ka-GE"/>
        </w:rPr>
        <w:t>მიიჩნევს</w:t>
      </w:r>
      <w:r w:rsidR="00B1546C" w:rsidRPr="00FE223D">
        <w:rPr>
          <w:rFonts w:ascii="Sylfaen" w:hAnsi="Sylfaen"/>
          <w:lang w:val="ka-GE"/>
        </w:rPr>
        <w:t>, რომ</w:t>
      </w:r>
      <w:r w:rsidR="00FB12E5" w:rsidRPr="00FE223D">
        <w:rPr>
          <w:rFonts w:ascii="Sylfaen" w:hAnsi="Sylfaen"/>
          <w:lang w:val="ka-GE"/>
        </w:rPr>
        <w:t xml:space="preserve"> ავტორის არგუმენტ</w:t>
      </w:r>
      <w:r w:rsidR="00994E5A" w:rsidRPr="00FE223D">
        <w:rPr>
          <w:rFonts w:ascii="Sylfaen" w:hAnsi="Sylfaen"/>
          <w:lang w:val="ka-GE"/>
        </w:rPr>
        <w:t>ები</w:t>
      </w:r>
      <w:r w:rsidR="00FB12E5" w:rsidRPr="00FE223D">
        <w:rPr>
          <w:rFonts w:ascii="Sylfaen" w:hAnsi="Sylfaen"/>
          <w:lang w:val="ka-GE"/>
        </w:rPr>
        <w:t xml:space="preserve">, რომ </w:t>
      </w:r>
      <w:r w:rsidR="00B1546C" w:rsidRPr="00FE223D">
        <w:rPr>
          <w:rFonts w:ascii="Sylfaen" w:hAnsi="Sylfaen"/>
          <w:lang w:val="ka-GE"/>
        </w:rPr>
        <w:t xml:space="preserve">(1) </w:t>
      </w:r>
      <w:r w:rsidR="00FB12E5" w:rsidRPr="00FE223D">
        <w:rPr>
          <w:rFonts w:ascii="Sylfaen" w:hAnsi="Sylfaen"/>
          <w:lang w:val="ka-GE"/>
        </w:rPr>
        <w:t>მისი დასაქმების პროცესი ჟესტური ენის თარჯიმნის ხარჯების გამო გაუქმდა</w:t>
      </w:r>
      <w:r w:rsidR="00B1546C" w:rsidRPr="00FE223D">
        <w:rPr>
          <w:rFonts w:ascii="Sylfaen" w:hAnsi="Sylfaen"/>
          <w:lang w:val="ka-GE"/>
        </w:rPr>
        <w:t xml:space="preserve"> (</w:t>
      </w:r>
      <w:r w:rsidR="00FB12E5" w:rsidRPr="00FE223D">
        <w:rPr>
          <w:rFonts w:ascii="Sylfaen" w:hAnsi="Sylfaen"/>
          <w:lang w:val="ka-GE"/>
        </w:rPr>
        <w:t>ჟესტური ენის თარჯიმანი აუცილებელი იყო მისთვის სამუშაო ვალდებულებების შესასრულებლად</w:t>
      </w:r>
      <w:r w:rsidR="00B1546C" w:rsidRPr="00FE223D">
        <w:rPr>
          <w:rFonts w:ascii="Sylfaen" w:hAnsi="Sylfaen"/>
          <w:lang w:val="ka-GE"/>
        </w:rPr>
        <w:t>) და რომ (2) სამუშაო ვალდებულებების ალტერნატიული ფორმები ან გონივრული მისადაგების ღონისძიებები (ჟესტური ენის თარჯიმნის გარდა), როგორებიცაა ონლაინ სწავლება, რომელიც უფრო და უფრო ხშირად გამოიყენება სხვადასხვა უნივერსიტეტების მიერ, დაქირავების პროცესის არცერთ ეტაპზე არ იქნა გათვალისწინებული</w:t>
      </w:r>
      <w:r w:rsidR="00994E5A" w:rsidRPr="00FE223D">
        <w:rPr>
          <w:rFonts w:ascii="Sylfaen" w:hAnsi="Sylfaen"/>
          <w:lang w:val="ka-GE"/>
        </w:rPr>
        <w:t>.</w:t>
      </w:r>
      <w:r w:rsidR="00B1546C" w:rsidRPr="00FE223D">
        <w:rPr>
          <w:rFonts w:ascii="Sylfaen" w:hAnsi="Sylfaen"/>
          <w:lang w:val="ka-GE"/>
        </w:rPr>
        <w:t xml:space="preserve"> მეტიც, შრომის სასამართლომ სათანადოდ არ შეაფასა ავტორის მიერ უნივერსიტეტისთვის შეთავაზებული გონივრული მისადაგების ღონისძიებები. ამის გათვალისწინებით, კომიტეტი მიიჩნევს, რომ</w:t>
      </w:r>
      <w:r w:rsidR="00994E5A" w:rsidRPr="00FE223D">
        <w:rPr>
          <w:rFonts w:ascii="Sylfaen" w:hAnsi="Sylfaen"/>
          <w:lang w:val="ka-GE"/>
        </w:rPr>
        <w:t>,</w:t>
      </w:r>
      <w:r w:rsidR="00B1546C" w:rsidRPr="00FE223D">
        <w:rPr>
          <w:rFonts w:ascii="Sylfaen" w:hAnsi="Sylfaen"/>
          <w:lang w:val="ka-GE"/>
        </w:rPr>
        <w:t xml:space="preserve"> </w:t>
      </w:r>
      <w:r w:rsidR="00994E5A" w:rsidRPr="00FE223D">
        <w:rPr>
          <w:rFonts w:ascii="Sylfaen" w:hAnsi="Sylfaen"/>
          <w:lang w:val="ka-GE"/>
        </w:rPr>
        <w:t>დასაშვებობის კუთხით</w:t>
      </w:r>
      <w:r w:rsidR="00994E5A" w:rsidRPr="00FE223D">
        <w:rPr>
          <w:rFonts w:ascii="Sylfaen" w:hAnsi="Sylfaen"/>
          <w:lang w:val="ka-GE"/>
        </w:rPr>
        <w:t xml:space="preserve">, </w:t>
      </w:r>
      <w:r w:rsidR="00B1546C" w:rsidRPr="00FE223D">
        <w:rPr>
          <w:rFonts w:ascii="Sylfaen" w:hAnsi="Sylfaen"/>
          <w:lang w:val="ka-GE"/>
        </w:rPr>
        <w:t>ავტორმა საკმარისად დაასაბუთა საკუთარი საჩივარი</w:t>
      </w:r>
      <w:r w:rsidR="001E021D" w:rsidRPr="00FE223D">
        <w:rPr>
          <w:rFonts w:ascii="Sylfaen" w:hAnsi="Sylfaen"/>
          <w:lang w:val="ka-GE"/>
        </w:rPr>
        <w:t xml:space="preserve">. კომიტეტი გადადის </w:t>
      </w:r>
      <w:r w:rsidR="002B7B6F" w:rsidRPr="00FE223D">
        <w:rPr>
          <w:rFonts w:ascii="Sylfaen" w:hAnsi="Sylfaen"/>
          <w:lang w:val="ka-GE"/>
        </w:rPr>
        <w:t>არსებითი მხარეების</w:t>
      </w:r>
      <w:r w:rsidR="001E021D" w:rsidRPr="00FE223D">
        <w:rPr>
          <w:rFonts w:ascii="Sylfaen" w:hAnsi="Sylfaen"/>
          <w:lang w:val="ka-GE"/>
        </w:rPr>
        <w:t xml:space="preserve"> განხილვაზე. </w:t>
      </w:r>
    </w:p>
    <w:p w14:paraId="58F06FD0" w14:textId="51C4A57C" w:rsidR="00F0037F" w:rsidRPr="00FE223D" w:rsidRDefault="00F0037F" w:rsidP="007B0B93">
      <w:pPr>
        <w:pStyle w:val="H23G"/>
        <w:rPr>
          <w:rFonts w:ascii="Sylfaen" w:hAnsi="Sylfaen"/>
        </w:rPr>
      </w:pPr>
      <w:r w:rsidRPr="00FE223D">
        <w:rPr>
          <w:rFonts w:ascii="Sylfaen" w:hAnsi="Sylfaen"/>
        </w:rPr>
        <w:tab/>
      </w:r>
      <w:r w:rsidRPr="00FE223D">
        <w:rPr>
          <w:rFonts w:ascii="Sylfaen" w:hAnsi="Sylfaen"/>
        </w:rPr>
        <w:tab/>
      </w:r>
      <w:r w:rsidR="001E021D" w:rsidRPr="00FE223D">
        <w:rPr>
          <w:rFonts w:ascii="Sylfaen" w:hAnsi="Sylfaen"/>
          <w:lang w:val="ka-GE"/>
        </w:rPr>
        <w:t xml:space="preserve">მოსაზრებები საქმის </w:t>
      </w:r>
      <w:r w:rsidR="002B7B6F" w:rsidRPr="00FE223D">
        <w:rPr>
          <w:rFonts w:ascii="Sylfaen" w:hAnsi="Sylfaen"/>
          <w:lang w:val="ka-GE"/>
        </w:rPr>
        <w:t>არსებითი მხარეების</w:t>
      </w:r>
      <w:r w:rsidR="001E021D" w:rsidRPr="00FE223D">
        <w:rPr>
          <w:rFonts w:ascii="Sylfaen" w:hAnsi="Sylfaen"/>
          <w:lang w:val="ka-GE"/>
        </w:rPr>
        <w:t xml:space="preserve"> შესახებ </w:t>
      </w:r>
    </w:p>
    <w:p w14:paraId="16EA1251" w14:textId="77777777" w:rsidR="00522DFE" w:rsidRPr="00FE223D" w:rsidRDefault="00F0037F" w:rsidP="00522DFE">
      <w:pPr>
        <w:pStyle w:val="SingleTxtG"/>
        <w:rPr>
          <w:rFonts w:ascii="Sylfaen" w:hAnsi="Sylfaen"/>
          <w:lang w:val="ka-GE"/>
        </w:rPr>
      </w:pPr>
      <w:r w:rsidRPr="00FE223D">
        <w:rPr>
          <w:rFonts w:ascii="Sylfaen" w:hAnsi="Sylfaen"/>
        </w:rPr>
        <w:t>8.1</w:t>
      </w:r>
      <w:r w:rsidRPr="00FE223D">
        <w:rPr>
          <w:rFonts w:ascii="Sylfaen" w:hAnsi="Sylfaen"/>
        </w:rPr>
        <w:tab/>
      </w:r>
      <w:r w:rsidR="004119B0" w:rsidRPr="00FE223D">
        <w:rPr>
          <w:rFonts w:ascii="Sylfaen" w:hAnsi="Sylfaen"/>
          <w:lang w:val="ka-GE"/>
        </w:rPr>
        <w:t xml:space="preserve">კომიტეტმა შეტყობინება განიხილა სრული ინფორმაციის გათვალისწინებით, რომელსაც ფლობდა, ფაკულტატური ოქმის მე-5 მუხლისა და კომიტეტის რეგლამენტის 73(1) წესის შესაბამისად. </w:t>
      </w:r>
    </w:p>
    <w:p w14:paraId="130AA3AE" w14:textId="3532F450" w:rsidR="00FE031E" w:rsidRPr="00FE223D" w:rsidRDefault="00F0037F" w:rsidP="00FE031E">
      <w:pPr>
        <w:pStyle w:val="SingleTxtG"/>
        <w:rPr>
          <w:rFonts w:ascii="Sylfaen" w:hAnsi="Sylfaen"/>
          <w:lang w:val="ka-GE"/>
        </w:rPr>
      </w:pPr>
      <w:r w:rsidRPr="00FE223D">
        <w:rPr>
          <w:rFonts w:ascii="Sylfaen" w:hAnsi="Sylfaen"/>
        </w:rPr>
        <w:t>8.2</w:t>
      </w:r>
      <w:r w:rsidRPr="00FE223D">
        <w:rPr>
          <w:rFonts w:ascii="Sylfaen" w:hAnsi="Sylfaen"/>
        </w:rPr>
        <w:tab/>
      </w:r>
      <w:r w:rsidR="00362F13" w:rsidRPr="00FE223D">
        <w:rPr>
          <w:rFonts w:ascii="Sylfaen" w:hAnsi="Sylfaen"/>
          <w:lang w:val="ka-GE"/>
        </w:rPr>
        <w:t xml:space="preserve">მოცემულ საქმეში საკითხავია ის, თუ რამდენად არის ხელისუფლების მიერ რეკრუტირების პროცესთან </w:t>
      </w:r>
      <w:r w:rsidR="00522DFE" w:rsidRPr="00FE223D">
        <w:rPr>
          <w:rFonts w:ascii="Sylfaen" w:hAnsi="Sylfaen"/>
          <w:lang w:val="ka-GE"/>
        </w:rPr>
        <w:t xml:space="preserve">(რომელშიც ავტორმა მიიღო მონაწილება) </w:t>
      </w:r>
      <w:r w:rsidR="00362F13" w:rsidRPr="00FE223D">
        <w:rPr>
          <w:rFonts w:ascii="Sylfaen" w:hAnsi="Sylfaen"/>
          <w:lang w:val="ka-GE"/>
        </w:rPr>
        <w:t xml:space="preserve">დაკავშირებით მიღებული გადაწყვეტილებები </w:t>
      </w:r>
      <w:r w:rsidR="00522DFE" w:rsidRPr="00FE223D">
        <w:rPr>
          <w:rFonts w:ascii="Sylfaen" w:hAnsi="Sylfaen"/>
          <w:lang w:val="ka-GE"/>
        </w:rPr>
        <w:t xml:space="preserve">მისი უფლებების დარღვევა კონვენციის მე-5 და 27-ე მუხლებით. კომიტეტი აღნიშნავს ავტორის ბრალდებებს, რომ ის სახელმწიფოს მიერ ყველაზე კვალიფიციურ კანდიდატად მიიჩნეოდა ლექტორის თანამდებობაზე, მაგრამ უნივერსიტეტმა მისი დაქირავების პროცესი 2016 წლის 17 მაისს შეწყვიტა. უნივერსიტეტის თქმით, შეწყვეტის მიზეზი ის იყო, რომ ჟესტური ენის თარჯიმანი (როგორც ავტორის დასაქმების უფლების სხვების თანასწორად განხორციელების გზა) ზედმეტად დიდ დაფინანსებას მოითხოვდა. კომიტეტი შენიშნავს, რომ ეს მტკიცება სახელმწიფო მხარეს ეჭვქვეშ არ დაუყენებია.   </w:t>
      </w:r>
    </w:p>
    <w:p w14:paraId="200ECA86" w14:textId="6D82EF08" w:rsidR="00FE031E" w:rsidRPr="00FE223D" w:rsidRDefault="00F0037F" w:rsidP="00FE031E">
      <w:pPr>
        <w:pStyle w:val="SingleTxtG"/>
        <w:rPr>
          <w:rFonts w:ascii="Sylfaen" w:hAnsi="Sylfaen"/>
          <w:lang w:val="ka-GE"/>
        </w:rPr>
      </w:pPr>
      <w:r w:rsidRPr="00FE223D">
        <w:rPr>
          <w:rFonts w:ascii="Sylfaen" w:hAnsi="Sylfaen"/>
        </w:rPr>
        <w:lastRenderedPageBreak/>
        <w:t>8.3</w:t>
      </w:r>
      <w:r w:rsidRPr="00FE223D">
        <w:rPr>
          <w:rFonts w:ascii="Sylfaen" w:hAnsi="Sylfaen"/>
        </w:rPr>
        <w:tab/>
      </w:r>
      <w:r w:rsidR="00FE031E" w:rsidRPr="00FE223D">
        <w:rPr>
          <w:rFonts w:ascii="Sylfaen" w:hAnsi="Sylfaen"/>
          <w:lang w:val="ka-GE"/>
        </w:rPr>
        <w:t xml:space="preserve">კომიტეტი ასევე აღნიშნავს ავტორის არგუმენტს იმის შესახებ, რომ მისი უფლებები დაირღვა, რადგან უნივერსიტეტმა და შრომის სასამართლომ ჟესტური ენის თარჯიმნის ხარჯები არასწორი პროპორციულობით შეაფასეს და გონივრული მისადაგების სხვა ღონისძიებები არასაკმარისად შეისწავლეს. ამასთან ერთად, კომიტეტი შენიშნავს მომჩივნის მტკიცებას, რომ უნივერსიტეტმა ავტორი დასაქმების პროცესის შეწყვეტამდე არ გააფრთხილა, რომ სახელმწიფოს მიერ დაფინანსებული ღონისძიებები არასაკმარისი იყო. </w:t>
      </w:r>
    </w:p>
    <w:p w14:paraId="68730DF1" w14:textId="31BC93E7" w:rsidR="00FE031E" w:rsidRPr="00FE223D" w:rsidRDefault="00425A26" w:rsidP="00E83B71">
      <w:pPr>
        <w:pStyle w:val="SingleTxtG"/>
        <w:rPr>
          <w:rFonts w:ascii="Sylfaen" w:hAnsi="Sylfaen"/>
          <w:lang w:val="ka-GE"/>
        </w:rPr>
      </w:pPr>
      <w:r w:rsidRPr="00FE223D">
        <w:rPr>
          <w:rFonts w:ascii="Sylfaen" w:hAnsi="Sylfaen"/>
        </w:rPr>
        <w:t>8.4</w:t>
      </w:r>
      <w:r w:rsidR="00F0037F" w:rsidRPr="00FE223D">
        <w:rPr>
          <w:rFonts w:ascii="Sylfaen" w:hAnsi="Sylfaen"/>
        </w:rPr>
        <w:tab/>
      </w:r>
      <w:r w:rsidR="00FE031E" w:rsidRPr="00FE223D">
        <w:rPr>
          <w:rFonts w:ascii="Sylfaen" w:hAnsi="Sylfaen"/>
          <w:lang w:val="ka-GE"/>
        </w:rPr>
        <w:t>კომიტეტი ამბობს, რომ კონვენციის 27-3 მუხლის (</w:t>
      </w:r>
      <w:r w:rsidR="00FE031E" w:rsidRPr="00FE223D">
        <w:rPr>
          <w:rFonts w:ascii="Sylfaen" w:hAnsi="Sylfaen"/>
          <w:lang w:val="en-US"/>
        </w:rPr>
        <w:t xml:space="preserve">a), </w:t>
      </w:r>
      <w:r w:rsidR="00FE031E" w:rsidRPr="00FE223D">
        <w:rPr>
          <w:rFonts w:ascii="Sylfaen" w:hAnsi="Sylfaen"/>
        </w:rPr>
        <w:t xml:space="preserve">(e), (g) </w:t>
      </w:r>
      <w:r w:rsidR="00FE031E" w:rsidRPr="00FE223D">
        <w:rPr>
          <w:rFonts w:ascii="Sylfaen" w:hAnsi="Sylfaen"/>
          <w:lang w:val="ka-GE"/>
        </w:rPr>
        <w:t>და</w:t>
      </w:r>
      <w:r w:rsidR="00FE031E" w:rsidRPr="00FE223D">
        <w:rPr>
          <w:rFonts w:ascii="Sylfaen" w:hAnsi="Sylfaen"/>
        </w:rPr>
        <w:t xml:space="preserve"> (i)</w:t>
      </w:r>
      <w:r w:rsidR="00FE031E" w:rsidRPr="00FE223D">
        <w:rPr>
          <w:rFonts w:ascii="Sylfaen" w:hAnsi="Sylfaen"/>
          <w:lang w:val="ka-GE"/>
        </w:rPr>
        <w:t xml:space="preserve"> პუნქტების შესაბამისად, </w:t>
      </w:r>
      <w:r w:rsidR="00E503DC" w:rsidRPr="00FE223D">
        <w:rPr>
          <w:rFonts w:ascii="Sylfaen" w:hAnsi="Sylfaen"/>
          <w:lang w:val="ka-GE"/>
        </w:rPr>
        <w:t xml:space="preserve">სახელმწიფო მხარეს შეზღუდული შესაძლებლობის საფუძველზე დისკრიმინაციის აკრძალვის პასუხისმგებლობა აქვს. ეს ეხება დისკრიმინაციას ყველა საკითხთან, მათ შორის, დასაქმების ყველა ფორმასთან დაკავშირებით, რეკრუტირების პირობების, დასაქმების და მუშაობის, დასაქმების ხანგრძლივობის, კარიერული წინსვლის, უსაფრთხო და ჯანმრთელი სამუშაო პირობების ჩათვლით. </w:t>
      </w:r>
      <w:r w:rsidR="00994E5A" w:rsidRPr="00FE223D">
        <w:rPr>
          <w:rFonts w:ascii="Sylfaen" w:hAnsi="Sylfaen"/>
          <w:lang w:val="ka-GE"/>
        </w:rPr>
        <w:t xml:space="preserve">ამასთან ერთად, </w:t>
      </w:r>
      <w:r w:rsidR="00D5543E" w:rsidRPr="00FE223D">
        <w:rPr>
          <w:rFonts w:ascii="Sylfaen" w:hAnsi="Sylfaen"/>
          <w:lang w:val="ka-GE"/>
        </w:rPr>
        <w:t>სახელმწიფოს პასუხისმგებლობა</w:t>
      </w:r>
      <w:r w:rsidR="00994E5A" w:rsidRPr="00FE223D">
        <w:rPr>
          <w:rFonts w:ascii="Sylfaen" w:hAnsi="Sylfaen"/>
          <w:lang w:val="ka-GE"/>
        </w:rPr>
        <w:t xml:space="preserve"> აქვს</w:t>
      </w:r>
      <w:r w:rsidR="00D5543E" w:rsidRPr="00FE223D">
        <w:rPr>
          <w:rFonts w:ascii="Sylfaen" w:hAnsi="Sylfaen"/>
          <w:lang w:val="ka-GE"/>
        </w:rPr>
        <w:t xml:space="preserve">, ხელი შეუწყოს შშმ პირებს შრომის ბაზარზე დასაქმებაში, კარიერულ წინსვლაში, დაეხმაროს სამუშაოს პოვნაში, მოპოვებაში, შენარჩუნებასა და სამუშაოზე დაბრუნებაში. </w:t>
      </w:r>
      <w:r w:rsidR="00344EF5" w:rsidRPr="00FE223D">
        <w:rPr>
          <w:rFonts w:ascii="Sylfaen" w:hAnsi="Sylfaen"/>
          <w:lang w:val="ka-GE"/>
        </w:rPr>
        <w:t>სახელმწიფოს პასუხისმგებლობაა საჯარო სექტორში შშმ პირების დასაქმებაც და დასაქმების ადგილას გონივრული მიდასაგებ</w:t>
      </w:r>
      <w:r w:rsidR="00994E5A" w:rsidRPr="00FE223D">
        <w:rPr>
          <w:rFonts w:ascii="Sylfaen" w:hAnsi="Sylfaen"/>
          <w:lang w:val="ka-GE"/>
        </w:rPr>
        <w:t>ის</w:t>
      </w:r>
      <w:r w:rsidR="00344EF5" w:rsidRPr="00FE223D">
        <w:rPr>
          <w:rFonts w:ascii="Sylfaen" w:hAnsi="Sylfaen"/>
          <w:lang w:val="ka-GE"/>
        </w:rPr>
        <w:t xml:space="preserve"> უზრუნველყო</w:t>
      </w:r>
      <w:r w:rsidR="00994E5A" w:rsidRPr="00FE223D">
        <w:rPr>
          <w:rFonts w:ascii="Sylfaen" w:hAnsi="Sylfaen"/>
          <w:lang w:val="ka-GE"/>
        </w:rPr>
        <w:t>ფაც</w:t>
      </w:r>
      <w:r w:rsidR="00344EF5" w:rsidRPr="00FE223D">
        <w:rPr>
          <w:rFonts w:ascii="Sylfaen" w:hAnsi="Sylfaen"/>
          <w:lang w:val="ka-GE"/>
        </w:rPr>
        <w:t>. კომიტეტის თქმით, კონვენციის მე-2 მუხლის თანახმად, „გონივრული მისადაგება“ აუცილებელ და შესაბამის მოდიფიკაციებს</w:t>
      </w:r>
      <w:r w:rsidR="00D9638F" w:rsidRPr="00FE223D">
        <w:rPr>
          <w:rFonts w:ascii="Sylfaen" w:hAnsi="Sylfaen"/>
          <w:lang w:val="ka-GE"/>
        </w:rPr>
        <w:t xml:space="preserve"> და სხვა ღონისძიებებს </w:t>
      </w:r>
      <w:r w:rsidR="00344EF5" w:rsidRPr="00FE223D">
        <w:rPr>
          <w:rFonts w:ascii="Sylfaen" w:hAnsi="Sylfaen"/>
          <w:lang w:val="ka-GE"/>
        </w:rPr>
        <w:t>გულისხმობს</w:t>
      </w:r>
      <w:r w:rsidR="00E83B71" w:rsidRPr="00FE223D">
        <w:rPr>
          <w:rFonts w:ascii="Sylfaen" w:hAnsi="Sylfaen"/>
          <w:lang w:val="ka-GE"/>
        </w:rPr>
        <w:t xml:space="preserve"> (</w:t>
      </w:r>
      <w:r w:rsidR="00C17B75" w:rsidRPr="00FE223D">
        <w:rPr>
          <w:rFonts w:ascii="Sylfaen" w:hAnsi="Sylfaen"/>
          <w:lang w:val="ka-GE"/>
        </w:rPr>
        <w:t>რომ</w:t>
      </w:r>
      <w:r w:rsidR="00E83B71" w:rsidRPr="00FE223D">
        <w:rPr>
          <w:rFonts w:ascii="Sylfaen" w:hAnsi="Sylfaen"/>
          <w:lang w:val="ka-GE"/>
        </w:rPr>
        <w:t>ლებიც</w:t>
      </w:r>
      <w:r w:rsidR="00C17B75" w:rsidRPr="00FE223D">
        <w:rPr>
          <w:rFonts w:ascii="Sylfaen" w:hAnsi="Sylfaen"/>
          <w:lang w:val="ka-GE"/>
        </w:rPr>
        <w:t xml:space="preserve"> არ </w:t>
      </w:r>
      <w:r w:rsidR="00E83B71" w:rsidRPr="00FE223D">
        <w:rPr>
          <w:rFonts w:ascii="Sylfaen" w:hAnsi="Sylfaen"/>
          <w:lang w:val="ka-GE"/>
        </w:rPr>
        <w:t xml:space="preserve">მოიაზრებს დამსაქმებლისთვის </w:t>
      </w:r>
      <w:r w:rsidR="00C17B75" w:rsidRPr="00FE223D">
        <w:rPr>
          <w:rFonts w:ascii="Sylfaen" w:hAnsi="Sylfaen"/>
          <w:lang w:val="ka-GE"/>
        </w:rPr>
        <w:t xml:space="preserve">არაპროპორციულ ან ზედმეტ ტვირთს (სადაც საჭიროა), რათა შეზღუდული შესაძლებლობის მქონე პირებმა ადამიანის ყველა უფლებითა და ფუნდამენტური თავისუფლებებით </w:t>
      </w:r>
      <w:r w:rsidR="00E83B71" w:rsidRPr="00FE223D">
        <w:rPr>
          <w:rFonts w:ascii="Sylfaen" w:hAnsi="Sylfaen"/>
          <w:lang w:val="ka-GE"/>
        </w:rPr>
        <w:t>სხვებ</w:t>
      </w:r>
      <w:r w:rsidR="00E83B71" w:rsidRPr="00FE223D">
        <w:rPr>
          <w:rFonts w:ascii="Sylfaen" w:hAnsi="Sylfaen"/>
          <w:lang w:val="ka-GE"/>
        </w:rPr>
        <w:t>ის</w:t>
      </w:r>
      <w:r w:rsidR="00E83B71" w:rsidRPr="00FE223D">
        <w:rPr>
          <w:rFonts w:ascii="Sylfaen" w:hAnsi="Sylfaen"/>
          <w:lang w:val="ka-GE"/>
        </w:rPr>
        <w:t xml:space="preserve"> თანასწორად </w:t>
      </w:r>
      <w:r w:rsidR="00C17B75" w:rsidRPr="00FE223D">
        <w:rPr>
          <w:rFonts w:ascii="Sylfaen" w:hAnsi="Sylfaen"/>
          <w:lang w:val="ka-GE"/>
        </w:rPr>
        <w:t>ისარგებლონ</w:t>
      </w:r>
      <w:r w:rsidR="00C17B75" w:rsidRPr="00FE223D">
        <w:rPr>
          <w:rStyle w:val="FootnoteReference"/>
          <w:rFonts w:ascii="Sylfaen" w:hAnsi="Sylfaen"/>
        </w:rPr>
        <w:footnoteReference w:id="28"/>
      </w:r>
      <w:r w:rsidR="00C17B75" w:rsidRPr="00FE223D">
        <w:rPr>
          <w:rFonts w:ascii="Sylfaen" w:hAnsi="Sylfaen"/>
          <w:lang w:val="ka-GE"/>
        </w:rPr>
        <w:t xml:space="preserve">. </w:t>
      </w:r>
    </w:p>
    <w:p w14:paraId="1572588C" w14:textId="50205AD1" w:rsidR="00E70906" w:rsidRPr="00FE223D" w:rsidRDefault="00425A26" w:rsidP="00E70906">
      <w:pPr>
        <w:pStyle w:val="SingleTxtG"/>
        <w:rPr>
          <w:rFonts w:ascii="Sylfaen" w:hAnsi="Sylfaen"/>
          <w:lang w:val="ka-GE"/>
        </w:rPr>
      </w:pPr>
      <w:r w:rsidRPr="00FE223D">
        <w:rPr>
          <w:rFonts w:ascii="Sylfaen" w:hAnsi="Sylfaen"/>
        </w:rPr>
        <w:t>8.5</w:t>
      </w:r>
      <w:r w:rsidR="00F0037F" w:rsidRPr="00FE223D">
        <w:rPr>
          <w:rFonts w:ascii="Sylfaen" w:hAnsi="Sylfaen"/>
        </w:rPr>
        <w:tab/>
      </w:r>
      <w:r w:rsidR="006F6305" w:rsidRPr="00FE223D">
        <w:rPr>
          <w:rFonts w:ascii="Sylfaen" w:hAnsi="Sylfaen"/>
          <w:lang w:val="ka-GE"/>
        </w:rPr>
        <w:t>კომიტეტს კონვენციის მე-5 მუხლიც</w:t>
      </w:r>
      <w:r w:rsidR="00E83B71" w:rsidRPr="00FE223D">
        <w:rPr>
          <w:rFonts w:ascii="Sylfaen" w:hAnsi="Sylfaen"/>
          <w:lang w:val="ka-GE"/>
        </w:rPr>
        <w:t xml:space="preserve"> </w:t>
      </w:r>
      <w:r w:rsidR="00E83B71" w:rsidRPr="00FE223D">
        <w:rPr>
          <w:rFonts w:ascii="Sylfaen" w:hAnsi="Sylfaen"/>
          <w:lang w:val="ka-GE"/>
        </w:rPr>
        <w:t>მოჰყავს</w:t>
      </w:r>
      <w:r w:rsidR="006F6305" w:rsidRPr="00FE223D">
        <w:rPr>
          <w:rFonts w:ascii="Sylfaen" w:hAnsi="Sylfaen"/>
          <w:lang w:val="ka-GE"/>
        </w:rPr>
        <w:t xml:space="preserve">, რომელიც შეზღუდული შესაძლებლობის მქონე პირთა მიმართ დისკრიმინაციის ყველა ფორმას კრძალავს, მათ შორის, გონივრული მისადაგების უარყოფას. </w:t>
      </w:r>
      <w:r w:rsidR="00E83B71" w:rsidRPr="00FE223D">
        <w:rPr>
          <w:rFonts w:ascii="Sylfaen" w:hAnsi="Sylfaen"/>
          <w:lang w:val="ka-GE"/>
        </w:rPr>
        <w:t>ე</w:t>
      </w:r>
      <w:r w:rsidR="006F6305" w:rsidRPr="00FE223D">
        <w:rPr>
          <w:rFonts w:ascii="Sylfaen" w:hAnsi="Sylfaen"/>
          <w:lang w:val="ka-GE"/>
        </w:rPr>
        <w:t>ს დისკრიმინაციის ისეთი ფორმაა, რომელიც პროგრესულ რეალიზაციას არ ექვემდებარება</w:t>
      </w:r>
      <w:r w:rsidR="006F6305" w:rsidRPr="00FE223D">
        <w:rPr>
          <w:rStyle w:val="FootnoteReference"/>
          <w:rFonts w:ascii="Sylfaen" w:hAnsi="Sylfaen"/>
        </w:rPr>
        <w:footnoteReference w:id="29"/>
      </w:r>
      <w:r w:rsidR="006F6305" w:rsidRPr="00FE223D">
        <w:rPr>
          <w:rFonts w:ascii="Sylfaen" w:hAnsi="Sylfaen"/>
          <w:lang w:val="ka-GE"/>
        </w:rPr>
        <w:t xml:space="preserve">. ეს ნიშნავს, რომ კონვენციას ეწინააღმდეგება დისკრიმინაციის ყველა ფორმა და </w:t>
      </w:r>
      <w:r w:rsidR="00E83B71" w:rsidRPr="00FE223D">
        <w:rPr>
          <w:rFonts w:ascii="Sylfaen" w:hAnsi="Sylfaen"/>
          <w:lang w:val="ka-GE"/>
        </w:rPr>
        <w:t xml:space="preserve">მიზანშეწონილი არ არის </w:t>
      </w:r>
      <w:r w:rsidR="006F6305" w:rsidRPr="00FE223D">
        <w:rPr>
          <w:rFonts w:ascii="Sylfaen" w:hAnsi="Sylfaen"/>
          <w:lang w:val="ka-GE"/>
        </w:rPr>
        <w:t>თანასწორობის უფლებისა და დისკრიმინაციის ფორმებს შორის დიფერენცირება, მაგალითად, მათი ე.წ. სერიოზულობის თვალსაზრისით</w:t>
      </w:r>
      <w:r w:rsidR="00E83B71" w:rsidRPr="00FE223D">
        <w:rPr>
          <w:rFonts w:ascii="Sylfaen" w:hAnsi="Sylfaen"/>
          <w:lang w:val="ka-GE"/>
        </w:rPr>
        <w:t>.</w:t>
      </w:r>
      <w:r w:rsidR="006F6305" w:rsidRPr="00FE223D">
        <w:rPr>
          <w:rFonts w:ascii="Sylfaen" w:hAnsi="Sylfaen"/>
          <w:lang w:val="ka-GE"/>
        </w:rPr>
        <w:t xml:space="preserve"> </w:t>
      </w:r>
      <w:r w:rsidR="00E62DD6" w:rsidRPr="00FE223D">
        <w:rPr>
          <w:rFonts w:ascii="Sylfaen" w:hAnsi="Sylfaen"/>
          <w:lang w:val="ka-GE"/>
        </w:rPr>
        <w:t xml:space="preserve">კომიტეტი აფიქსირებს იმასაც, რომ გონივრული მისადაგება </w:t>
      </w:r>
      <w:r w:rsidR="00E62DD6" w:rsidRPr="00FE223D">
        <w:rPr>
          <w:rFonts w:ascii="Sylfaen" w:hAnsi="Sylfaen"/>
          <w:i/>
          <w:iCs/>
        </w:rPr>
        <w:t>ex nunc</w:t>
      </w:r>
      <w:r w:rsidR="00E62DD6" w:rsidRPr="00FE223D">
        <w:rPr>
          <w:rFonts w:ascii="Sylfaen" w:hAnsi="Sylfaen"/>
          <w:i/>
          <w:iCs/>
          <w:lang w:val="ka-GE"/>
        </w:rPr>
        <w:t xml:space="preserve"> </w:t>
      </w:r>
      <w:r w:rsidR="00E62DD6" w:rsidRPr="00FE223D">
        <w:rPr>
          <w:rFonts w:ascii="Sylfaen" w:hAnsi="Sylfaen"/>
          <w:lang w:val="ka-GE"/>
        </w:rPr>
        <w:t xml:space="preserve">მოვალეობაა, რაც ნიშნავს, რომ მისადაგება იმ მომენტიდან უნდა იყოს უზრუნველყოფილი, რა მომენტიდანაც შშმ პირს  მიუწვდომელ გარემოზე და სიტუაციებზე მისაწვდომობა </w:t>
      </w:r>
      <w:r w:rsidR="00E83B71" w:rsidRPr="00FE223D">
        <w:rPr>
          <w:rFonts w:ascii="Sylfaen" w:hAnsi="Sylfaen"/>
          <w:lang w:val="ka-GE"/>
        </w:rPr>
        <w:t>დასჭირდება</w:t>
      </w:r>
      <w:r w:rsidR="00E83B71" w:rsidRPr="00FE223D">
        <w:rPr>
          <w:rFonts w:ascii="Sylfaen" w:hAnsi="Sylfaen"/>
          <w:lang w:val="ka-GE"/>
        </w:rPr>
        <w:t xml:space="preserve"> </w:t>
      </w:r>
      <w:r w:rsidR="00E62DD6" w:rsidRPr="00FE223D">
        <w:rPr>
          <w:rFonts w:ascii="Sylfaen" w:hAnsi="Sylfaen"/>
          <w:lang w:val="ka-GE"/>
        </w:rPr>
        <w:t>ან საკუთარი უფლებების განხორციელება მოუნდება</w:t>
      </w:r>
      <w:r w:rsidR="00E62DD6" w:rsidRPr="00FE223D">
        <w:rPr>
          <w:rStyle w:val="FootnoteReference"/>
          <w:rFonts w:ascii="Sylfaen" w:hAnsi="Sylfaen"/>
        </w:rPr>
        <w:footnoteReference w:id="30"/>
      </w:r>
      <w:r w:rsidR="00E62DD6" w:rsidRPr="00FE223D">
        <w:rPr>
          <w:rFonts w:ascii="Sylfaen" w:hAnsi="Sylfaen"/>
          <w:lang w:val="ka-GE"/>
        </w:rPr>
        <w:t xml:space="preserve">. ამ მიზნით, აღნიშნული მოვალეობის </w:t>
      </w:r>
      <w:r w:rsidR="00E83B71" w:rsidRPr="00FE223D">
        <w:rPr>
          <w:rFonts w:ascii="Sylfaen" w:hAnsi="Sylfaen"/>
          <w:lang w:val="ka-GE"/>
        </w:rPr>
        <w:t>მ</w:t>
      </w:r>
      <w:r w:rsidR="00E62DD6" w:rsidRPr="00FE223D">
        <w:rPr>
          <w:rFonts w:ascii="Sylfaen" w:hAnsi="Sylfaen"/>
          <w:lang w:val="ka-GE"/>
        </w:rPr>
        <w:t>ქონემ</w:t>
      </w:r>
      <w:r w:rsidR="00243905" w:rsidRPr="00FE223D">
        <w:rPr>
          <w:rFonts w:ascii="Sylfaen" w:hAnsi="Sylfaen"/>
          <w:lang w:val="ka-GE"/>
        </w:rPr>
        <w:t xml:space="preserve"> შშმ პირთან დიალოგი უნდა დაიწყოს, რათა </w:t>
      </w:r>
      <w:r w:rsidR="00E83B71" w:rsidRPr="00FE223D">
        <w:rPr>
          <w:rFonts w:ascii="Sylfaen" w:hAnsi="Sylfaen"/>
          <w:lang w:val="ka-GE"/>
        </w:rPr>
        <w:t>მან</w:t>
      </w:r>
      <w:r w:rsidR="00243905" w:rsidRPr="00FE223D">
        <w:rPr>
          <w:rFonts w:ascii="Sylfaen" w:hAnsi="Sylfaen"/>
          <w:lang w:val="ka-GE"/>
        </w:rPr>
        <w:t xml:space="preserve"> </w:t>
      </w:r>
      <w:r w:rsidR="00E83B71" w:rsidRPr="00FE223D">
        <w:rPr>
          <w:rFonts w:ascii="Sylfaen" w:hAnsi="Sylfaen"/>
          <w:lang w:val="ka-GE"/>
        </w:rPr>
        <w:t>შშმ პირი მისი</w:t>
      </w:r>
      <w:r w:rsidR="00243905" w:rsidRPr="00FE223D">
        <w:rPr>
          <w:rFonts w:ascii="Sylfaen" w:hAnsi="Sylfaen"/>
          <w:lang w:val="ka-GE"/>
        </w:rPr>
        <w:t xml:space="preserve"> უფლებების უკეთ განხორციელებისა და შესაძლებლობების გავითარების  შესახებ გადაწყვეტილებების მოძიებაში ჩართოს.</w:t>
      </w:r>
      <w:r w:rsidR="00243905" w:rsidRPr="00FE223D">
        <w:rPr>
          <w:rStyle w:val="FootnoteReference"/>
          <w:rFonts w:ascii="Sylfaen" w:hAnsi="Sylfaen"/>
        </w:rPr>
        <w:footnoteReference w:id="31"/>
      </w:r>
      <w:r w:rsidR="00243905" w:rsidRPr="00FE223D">
        <w:rPr>
          <w:rFonts w:ascii="Sylfaen" w:hAnsi="Sylfaen"/>
        </w:rPr>
        <w:t xml:space="preserve"> </w:t>
      </w:r>
      <w:r w:rsidR="00243905" w:rsidRPr="00FE223D">
        <w:rPr>
          <w:rFonts w:ascii="Sylfaen" w:hAnsi="Sylfaen"/>
          <w:lang w:val="ka-GE"/>
        </w:rPr>
        <w:t xml:space="preserve"> </w:t>
      </w:r>
    </w:p>
    <w:p w14:paraId="064863BB" w14:textId="28FDF1FE" w:rsidR="005578B9" w:rsidRPr="00FE223D" w:rsidRDefault="00425A26" w:rsidP="005578B9">
      <w:pPr>
        <w:pStyle w:val="SingleTxtG"/>
        <w:rPr>
          <w:rFonts w:ascii="Sylfaen" w:hAnsi="Sylfaen"/>
          <w:lang w:val="ka-GE"/>
        </w:rPr>
      </w:pPr>
      <w:r w:rsidRPr="00FE223D">
        <w:rPr>
          <w:rFonts w:ascii="Sylfaen" w:hAnsi="Sylfaen"/>
        </w:rPr>
        <w:t>8.6</w:t>
      </w:r>
      <w:r w:rsidR="00F0037F" w:rsidRPr="00FE223D">
        <w:rPr>
          <w:rFonts w:ascii="Sylfaen" w:hAnsi="Sylfaen"/>
        </w:rPr>
        <w:tab/>
      </w:r>
      <w:r w:rsidR="00243905" w:rsidRPr="00FE223D">
        <w:rPr>
          <w:rFonts w:ascii="Sylfaen" w:hAnsi="Sylfaen"/>
          <w:lang w:val="ka-GE"/>
        </w:rPr>
        <w:t>კომიტეტი შენიშნავს, რომ გონ</w:t>
      </w:r>
      <w:r w:rsidR="00900365" w:rsidRPr="00FE223D">
        <w:rPr>
          <w:rFonts w:ascii="Sylfaen" w:hAnsi="Sylfaen"/>
          <w:lang w:val="ka-GE"/>
        </w:rPr>
        <w:t>ივრული</w:t>
      </w:r>
      <w:r w:rsidR="00243905" w:rsidRPr="00FE223D">
        <w:rPr>
          <w:rFonts w:ascii="Sylfaen" w:hAnsi="Sylfaen"/>
          <w:lang w:val="ka-GE"/>
        </w:rPr>
        <w:t xml:space="preserve"> მისადაგების ღონისძიებების პროპორციულობისა და საფუძვლიანობის შეფასებისას, სახელმწიფო მხარე დისკრეციის გარკვეული ზღვ</w:t>
      </w:r>
      <w:r w:rsidR="00E83B71" w:rsidRPr="00FE223D">
        <w:rPr>
          <w:rFonts w:ascii="Sylfaen" w:hAnsi="Sylfaen"/>
          <w:lang w:val="ka-GE"/>
        </w:rPr>
        <w:t>ა</w:t>
      </w:r>
      <w:r w:rsidR="00243905" w:rsidRPr="00FE223D">
        <w:rPr>
          <w:rFonts w:ascii="Sylfaen" w:hAnsi="Sylfaen"/>
          <w:lang w:val="ka-GE"/>
        </w:rPr>
        <w:t xml:space="preserve">რით სარგებლობს. კომიტეტი მიიჩნევს, რომ, ზოგადად, კონვენციასთან შეერთებული სახელმწიფოების სასამართლოებს კონკრეტულ საქმეში ფაქტებისა და მტკიცებულებების შეფასება ევალებათ, გარდა </w:t>
      </w:r>
      <w:r w:rsidR="00243905" w:rsidRPr="00FE223D">
        <w:rPr>
          <w:rFonts w:ascii="Sylfaen" w:hAnsi="Sylfaen"/>
          <w:lang w:val="ka-GE"/>
        </w:rPr>
        <w:lastRenderedPageBreak/>
        <w:t>იმ შემთხვევებისა, რო</w:t>
      </w:r>
      <w:r w:rsidR="00E70906" w:rsidRPr="00FE223D">
        <w:rPr>
          <w:rFonts w:ascii="Sylfaen" w:hAnsi="Sylfaen"/>
          <w:lang w:val="ka-GE"/>
        </w:rPr>
        <w:t>ცა დადგინდება, რომ შეფასება თვითნებური იყო ან სამართლიანობის უარყოფა გამოიწვია</w:t>
      </w:r>
      <w:r w:rsidR="00E70906" w:rsidRPr="00FE223D">
        <w:rPr>
          <w:rStyle w:val="FootnoteReference"/>
          <w:rFonts w:ascii="Sylfaen" w:hAnsi="Sylfaen"/>
        </w:rPr>
        <w:footnoteReference w:id="32"/>
      </w:r>
      <w:r w:rsidR="00E70906" w:rsidRPr="00FE223D">
        <w:rPr>
          <w:rFonts w:ascii="Sylfaen" w:hAnsi="Sylfaen"/>
          <w:lang w:val="ka-GE"/>
        </w:rPr>
        <w:t>.</w:t>
      </w:r>
    </w:p>
    <w:p w14:paraId="71AED651" w14:textId="2C0FC4FC" w:rsidR="00273E0E" w:rsidRPr="00FE223D" w:rsidRDefault="00F0037F" w:rsidP="005578B9">
      <w:pPr>
        <w:pStyle w:val="SingleTxtG"/>
        <w:rPr>
          <w:rFonts w:ascii="Sylfaen" w:hAnsi="Sylfaen"/>
          <w:lang w:val="ka-GE"/>
        </w:rPr>
      </w:pPr>
      <w:r w:rsidRPr="00FE223D">
        <w:rPr>
          <w:rFonts w:ascii="Sylfaen" w:hAnsi="Sylfaen"/>
        </w:rPr>
        <w:t>8.</w:t>
      </w:r>
      <w:r w:rsidR="00425A26" w:rsidRPr="00FE223D">
        <w:rPr>
          <w:rFonts w:ascii="Sylfaen" w:hAnsi="Sylfaen"/>
        </w:rPr>
        <w:t>7</w:t>
      </w:r>
      <w:r w:rsidRPr="00FE223D">
        <w:rPr>
          <w:rFonts w:ascii="Sylfaen" w:hAnsi="Sylfaen"/>
        </w:rPr>
        <w:tab/>
      </w:r>
      <w:r w:rsidR="00273E0E" w:rsidRPr="00FE223D">
        <w:rPr>
          <w:rFonts w:ascii="Sylfaen" w:hAnsi="Sylfaen"/>
          <w:lang w:val="ka-GE"/>
        </w:rPr>
        <w:t xml:space="preserve">კომიტეტის თქმით, წინამდებარე საქმეში ჩართული იყო სხვადასხვა სახელმწიფო ორგანო, თითოეული თავისი მანდატითა და პასუხისმგებლობით: სახელმწიფო უნივერსიტეტი, რომელმაც ვაკანსია გამოაქვეყნა და რეკრუტირების პროცესი გააუქმა; თანასწორობის </w:t>
      </w:r>
      <w:r w:rsidR="00440EF1" w:rsidRPr="00FE223D">
        <w:rPr>
          <w:rFonts w:ascii="Sylfaen" w:hAnsi="Sylfaen"/>
          <w:lang w:val="ka-GE"/>
        </w:rPr>
        <w:t>ომბუდსმე</w:t>
      </w:r>
      <w:r w:rsidR="00273E0E" w:rsidRPr="00FE223D">
        <w:rPr>
          <w:rFonts w:ascii="Sylfaen" w:hAnsi="Sylfaen"/>
          <w:lang w:val="ka-GE"/>
        </w:rPr>
        <w:t xml:space="preserve">ნი, რომელიც ავტორს წარმოადგენდა კომპეტენტური ადგილობრივი იურისდიქციების წინაშე; უმაღლესი განათლების სააპელაციო საბჭო; შრომის სასამართლო; ადმინისტრაციული სასამართლო და ადმინისტრაციული სააპელაციო სასამართლო. რაც შეეხება უნივერსიტეტს, კომიტეტი მიიჩნევს, რომ მან ავტორს არ აცნობა, რომ სახელმწიფოს მიერ დაფინანსებული ღონისძიებები არ იყო საკმარისი </w:t>
      </w:r>
      <w:r w:rsidR="005022BF" w:rsidRPr="00FE223D">
        <w:rPr>
          <w:rFonts w:ascii="Sylfaen" w:hAnsi="Sylfaen"/>
          <w:lang w:val="ka-GE"/>
        </w:rPr>
        <w:t>მისი თანამდებობის ფუნქციების შესასრულებლად</w:t>
      </w:r>
      <w:r w:rsidR="00900365" w:rsidRPr="00FE223D">
        <w:rPr>
          <w:rFonts w:ascii="Sylfaen" w:hAnsi="Sylfaen"/>
          <w:lang w:val="ka-GE"/>
        </w:rPr>
        <w:t xml:space="preserve"> საჭირო</w:t>
      </w:r>
      <w:r w:rsidR="005022BF" w:rsidRPr="00FE223D">
        <w:rPr>
          <w:rFonts w:ascii="Sylfaen" w:hAnsi="Sylfaen"/>
          <w:lang w:val="ka-GE"/>
        </w:rPr>
        <w:t xml:space="preserve"> აუცილებელი </w:t>
      </w:r>
      <w:r w:rsidR="00D9638F" w:rsidRPr="00FE223D">
        <w:rPr>
          <w:rFonts w:ascii="Sylfaen" w:hAnsi="Sylfaen"/>
          <w:lang w:val="ka-GE"/>
        </w:rPr>
        <w:t>მოდიფიცირებების</w:t>
      </w:r>
      <w:r w:rsidR="005022BF" w:rsidRPr="00FE223D">
        <w:rPr>
          <w:rFonts w:ascii="Sylfaen" w:hAnsi="Sylfaen"/>
          <w:lang w:val="ka-GE"/>
        </w:rPr>
        <w:t xml:space="preserve"> დასაფინანსებლად. ამან ხელი შეუშალა კონსულტაციის პროცესს და გონივრული მისადაგების ღონისძიებების გათვალისწინებას. სხვა სიტყვებით რომ ვთქვათ, ავტორის, როგორც ლექტორის,  შესაძლებლობების განვითარების და შეფასების მიზნით დიალოგის გამართვა </w:t>
      </w:r>
      <w:r w:rsidR="005578B9" w:rsidRPr="00FE223D">
        <w:rPr>
          <w:rFonts w:ascii="Sylfaen" w:hAnsi="Sylfaen"/>
          <w:lang w:val="ka-GE"/>
        </w:rPr>
        <w:t>გამოირიცხა, რადგან უნივერსიტეტმა რეკრუტირების პროცესი მანამდე შეაჩერა, სანამ გონივრული მისადაგების ალტერნატიულ ღონისძიებებ</w:t>
      </w:r>
      <w:r w:rsidR="00900365" w:rsidRPr="00FE223D">
        <w:rPr>
          <w:rFonts w:ascii="Sylfaen" w:hAnsi="Sylfaen"/>
          <w:lang w:val="ka-GE"/>
        </w:rPr>
        <w:t xml:space="preserve">ს გააანალიზებდა </w:t>
      </w:r>
      <w:r w:rsidR="005578B9" w:rsidRPr="00FE223D">
        <w:rPr>
          <w:rFonts w:ascii="Sylfaen" w:hAnsi="Sylfaen"/>
          <w:lang w:val="ka-GE"/>
        </w:rPr>
        <w:t xml:space="preserve">და კონსულტაციებს გამართავდა. </w:t>
      </w:r>
    </w:p>
    <w:p w14:paraId="0E16AA73" w14:textId="4BF76453" w:rsidR="00451BA1" w:rsidRPr="00FE223D" w:rsidRDefault="00425A26" w:rsidP="00451BA1">
      <w:pPr>
        <w:pStyle w:val="SingleTxtG"/>
        <w:rPr>
          <w:rFonts w:ascii="Sylfaen" w:hAnsi="Sylfaen"/>
          <w:lang w:val="ka-GE"/>
        </w:rPr>
      </w:pPr>
      <w:r w:rsidRPr="00FE223D">
        <w:rPr>
          <w:rFonts w:ascii="Sylfaen" w:hAnsi="Sylfaen"/>
        </w:rPr>
        <w:t>8.8</w:t>
      </w:r>
      <w:r w:rsidR="00F0037F" w:rsidRPr="00FE223D">
        <w:rPr>
          <w:rFonts w:ascii="Sylfaen" w:hAnsi="Sylfaen"/>
        </w:rPr>
        <w:tab/>
      </w:r>
      <w:r w:rsidR="005578B9" w:rsidRPr="00FE223D">
        <w:rPr>
          <w:rFonts w:ascii="Sylfaen" w:hAnsi="Sylfaen"/>
          <w:lang w:val="ka-GE"/>
        </w:rPr>
        <w:t>დიალოგის არარსებობამ სასამართლო პროცესზე მოახდინა გავლენა, რომლის განმავლობაშიც</w:t>
      </w:r>
      <w:r w:rsidR="0023194D" w:rsidRPr="00FE223D">
        <w:rPr>
          <w:rFonts w:ascii="Sylfaen" w:hAnsi="Sylfaen"/>
          <w:lang w:val="ka-GE"/>
        </w:rPr>
        <w:t xml:space="preserve"> სახელმწიფო ორგანოები ჟესტური ენის თარჯიმნის ღირებულების შესახებ საკუთარ არგუმენტებზე ფოკუსირდებოდნენ, გონ</w:t>
      </w:r>
      <w:r w:rsidR="00900365" w:rsidRPr="00FE223D">
        <w:rPr>
          <w:rFonts w:ascii="Sylfaen" w:hAnsi="Sylfaen"/>
          <w:lang w:val="ka-GE"/>
        </w:rPr>
        <w:t>ივრული</w:t>
      </w:r>
      <w:r w:rsidR="0023194D" w:rsidRPr="00FE223D">
        <w:rPr>
          <w:rFonts w:ascii="Sylfaen" w:hAnsi="Sylfaen"/>
          <w:lang w:val="ka-GE"/>
        </w:rPr>
        <w:t xml:space="preserve"> მისადაგების სხვა შესაძლო ღონისძიებების გათვალისწინების გარეშე. ამ გზით,  შრომის სასამართლომ გააანალიზა (</w:t>
      </w:r>
      <w:r w:rsidR="0023194D" w:rsidRPr="00FE223D">
        <w:rPr>
          <w:rFonts w:ascii="Sylfaen" w:hAnsi="Sylfaen"/>
          <w:lang w:val="en-US"/>
        </w:rPr>
        <w:t>i</w:t>
      </w:r>
      <w:r w:rsidR="0023194D" w:rsidRPr="00FE223D">
        <w:rPr>
          <w:rFonts w:ascii="Sylfaen" w:hAnsi="Sylfaen"/>
          <w:lang w:val="ka-GE"/>
        </w:rPr>
        <w:t>)</w:t>
      </w:r>
      <w:r w:rsidR="0023194D" w:rsidRPr="00FE223D">
        <w:rPr>
          <w:rFonts w:ascii="Sylfaen" w:hAnsi="Sylfaen"/>
          <w:lang w:val="en-US"/>
        </w:rPr>
        <w:t xml:space="preserve"> </w:t>
      </w:r>
      <w:r w:rsidR="0023194D" w:rsidRPr="00FE223D">
        <w:rPr>
          <w:rFonts w:ascii="Sylfaen" w:hAnsi="Sylfaen"/>
          <w:lang w:val="ka-GE"/>
        </w:rPr>
        <w:t xml:space="preserve">ჟესტური ენის თარჯიმნის ღირებულება </w:t>
      </w:r>
      <w:r w:rsidR="00900365" w:rsidRPr="00FE223D">
        <w:rPr>
          <w:rFonts w:ascii="Sylfaen" w:hAnsi="Sylfaen"/>
          <w:lang w:val="ka-GE"/>
        </w:rPr>
        <w:t>და ის,</w:t>
      </w:r>
      <w:r w:rsidR="0023194D" w:rsidRPr="00FE223D">
        <w:rPr>
          <w:rFonts w:ascii="Sylfaen" w:hAnsi="Sylfaen"/>
          <w:lang w:val="ka-GE"/>
        </w:rPr>
        <w:t xml:space="preserve"> თუ რამდენად შეძლებდა დამსაქმებელი ამ ხარჯის დაფარვას; (</w:t>
      </w:r>
      <w:r w:rsidR="0023194D" w:rsidRPr="00FE223D">
        <w:rPr>
          <w:rFonts w:ascii="Sylfaen" w:hAnsi="Sylfaen"/>
          <w:lang w:val="en-US"/>
        </w:rPr>
        <w:t xml:space="preserve">ii) </w:t>
      </w:r>
      <w:r w:rsidR="0023194D" w:rsidRPr="00FE223D">
        <w:rPr>
          <w:rFonts w:ascii="Sylfaen" w:hAnsi="Sylfaen"/>
          <w:lang w:val="ka-GE"/>
        </w:rPr>
        <w:t>მიღებული ზომების გავლენა ავტორის შესაძლებლობაზე შეესრულებინა თანამდებობით გაწე</w:t>
      </w:r>
      <w:r w:rsidR="00900365" w:rsidRPr="00FE223D">
        <w:rPr>
          <w:rFonts w:ascii="Sylfaen" w:hAnsi="Sylfaen"/>
          <w:lang w:val="ka-GE"/>
        </w:rPr>
        <w:t>რ</w:t>
      </w:r>
      <w:r w:rsidR="0023194D" w:rsidRPr="00FE223D">
        <w:rPr>
          <w:rFonts w:ascii="Sylfaen" w:hAnsi="Sylfaen"/>
          <w:lang w:val="ka-GE"/>
        </w:rPr>
        <w:t>ილი მოვალეობები; (</w:t>
      </w:r>
      <w:r w:rsidR="0023194D" w:rsidRPr="00FE223D">
        <w:rPr>
          <w:rFonts w:ascii="Sylfaen" w:hAnsi="Sylfaen"/>
          <w:lang w:val="en-US"/>
        </w:rPr>
        <w:t>iii)</w:t>
      </w:r>
      <w:r w:rsidR="0023194D" w:rsidRPr="00FE223D">
        <w:rPr>
          <w:rFonts w:ascii="Sylfaen" w:hAnsi="Sylfaen"/>
          <w:lang w:val="ka-GE"/>
        </w:rPr>
        <w:t xml:space="preserve"> დასაქმების ხანგრძლივობა; (</w:t>
      </w:r>
      <w:r w:rsidR="0023194D" w:rsidRPr="00FE223D">
        <w:rPr>
          <w:rFonts w:ascii="Sylfaen" w:hAnsi="Sylfaen"/>
          <w:lang w:val="en-US"/>
        </w:rPr>
        <w:t xml:space="preserve">iv) </w:t>
      </w:r>
      <w:r w:rsidR="00197F14" w:rsidRPr="00FE223D">
        <w:rPr>
          <w:rFonts w:ascii="Sylfaen" w:hAnsi="Sylfaen"/>
          <w:lang w:val="ka-GE"/>
        </w:rPr>
        <w:t>ავტორის სასარგებლოდ მიღებული ღონისძიებების გავლენა სხვა შეზღუდული შესაძლებლობის მქონე პირებზე; და (</w:t>
      </w:r>
      <w:r w:rsidR="00197F14" w:rsidRPr="00FE223D">
        <w:rPr>
          <w:rFonts w:ascii="Sylfaen" w:hAnsi="Sylfaen"/>
          <w:lang w:val="en-US"/>
        </w:rPr>
        <w:t>v)</w:t>
      </w:r>
      <w:r w:rsidR="00197F14" w:rsidRPr="00FE223D">
        <w:rPr>
          <w:rFonts w:ascii="Sylfaen" w:hAnsi="Sylfaen"/>
          <w:lang w:val="ka-GE"/>
        </w:rPr>
        <w:t xml:space="preserve"> სახელმწიფო დაფინანსების ზოგიერთი ღონისძიებ</w:t>
      </w:r>
      <w:r w:rsidR="00900365" w:rsidRPr="00FE223D">
        <w:rPr>
          <w:rFonts w:ascii="Sylfaen" w:hAnsi="Sylfaen"/>
          <w:lang w:val="ka-GE"/>
        </w:rPr>
        <w:t>ა</w:t>
      </w:r>
      <w:r w:rsidR="00197F14" w:rsidRPr="00FE223D">
        <w:rPr>
          <w:rFonts w:ascii="Sylfaen" w:hAnsi="Sylfaen"/>
          <w:lang w:val="ka-GE"/>
        </w:rPr>
        <w:t>, რომ</w:t>
      </w:r>
      <w:r w:rsidR="00900365" w:rsidRPr="00FE223D">
        <w:rPr>
          <w:rFonts w:ascii="Sylfaen" w:hAnsi="Sylfaen"/>
          <w:lang w:val="ka-GE"/>
        </w:rPr>
        <w:t>ე</w:t>
      </w:r>
      <w:r w:rsidR="00197F14" w:rsidRPr="00FE223D">
        <w:rPr>
          <w:rFonts w:ascii="Sylfaen" w:hAnsi="Sylfaen"/>
          <w:lang w:val="ka-GE"/>
        </w:rPr>
        <w:t>ლ</w:t>
      </w:r>
      <w:r w:rsidR="00900365" w:rsidRPr="00FE223D">
        <w:rPr>
          <w:rFonts w:ascii="Sylfaen" w:hAnsi="Sylfaen"/>
          <w:lang w:val="ka-GE"/>
        </w:rPr>
        <w:t>თა</w:t>
      </w:r>
      <w:r w:rsidR="00197F14" w:rsidRPr="00FE223D">
        <w:rPr>
          <w:rFonts w:ascii="Sylfaen" w:hAnsi="Sylfaen"/>
          <w:lang w:val="ka-GE"/>
        </w:rPr>
        <w:t xml:space="preserve"> გამოყენებაც სასარგებლო იქნებოდა დამსაქმებლისთვისაც და დასაქმებულისთვისაც. ამ საკითხების განხილვის შემდეგ, შრომის სასამართლომ დაასკვნა, რომ მოდიფიცირებები ზედმეტად ძვირი იქნებოდა. </w:t>
      </w:r>
    </w:p>
    <w:p w14:paraId="49190927" w14:textId="666D1E10" w:rsidR="00A359A6" w:rsidRPr="00FE223D" w:rsidRDefault="00425A26" w:rsidP="00451BA1">
      <w:pPr>
        <w:pStyle w:val="SingleTxtG"/>
        <w:rPr>
          <w:rFonts w:ascii="Sylfaen" w:hAnsi="Sylfaen"/>
          <w:lang w:val="ka-GE"/>
        </w:rPr>
      </w:pPr>
      <w:r w:rsidRPr="00FE223D">
        <w:rPr>
          <w:rFonts w:ascii="Sylfaen" w:hAnsi="Sylfaen"/>
        </w:rPr>
        <w:t>8.9</w:t>
      </w:r>
      <w:r w:rsidR="00F0037F" w:rsidRPr="00FE223D">
        <w:rPr>
          <w:rFonts w:ascii="Sylfaen" w:hAnsi="Sylfaen"/>
        </w:rPr>
        <w:tab/>
      </w:r>
      <w:r w:rsidR="00A359A6" w:rsidRPr="00FE223D">
        <w:rPr>
          <w:rFonts w:ascii="Sylfaen" w:hAnsi="Sylfaen"/>
          <w:lang w:val="ka-GE"/>
        </w:rPr>
        <w:t>კომიტეტი ამბობს, რომ გონივრული მისადაგების ძიების პროცესი თანამშრომლობითი და ინტერაქ</w:t>
      </w:r>
      <w:r w:rsidR="00900365" w:rsidRPr="00FE223D">
        <w:rPr>
          <w:rFonts w:ascii="Sylfaen" w:hAnsi="Sylfaen"/>
          <w:lang w:val="ka-GE"/>
        </w:rPr>
        <w:t>ც</w:t>
      </w:r>
      <w:r w:rsidR="00A359A6" w:rsidRPr="00FE223D">
        <w:rPr>
          <w:rFonts w:ascii="Sylfaen" w:hAnsi="Sylfaen"/>
          <w:lang w:val="ka-GE"/>
        </w:rPr>
        <w:t>იული უნდა იყოს. ის მიზნად უნდა ისახავდეს დასაქმებულის</w:t>
      </w:r>
      <w:r w:rsidR="00900365" w:rsidRPr="00FE223D">
        <w:rPr>
          <w:rFonts w:ascii="Sylfaen" w:hAnsi="Sylfaen"/>
          <w:lang w:val="ka-GE"/>
        </w:rPr>
        <w:t>ა</w:t>
      </w:r>
      <w:r w:rsidR="00A359A6" w:rsidRPr="00FE223D">
        <w:rPr>
          <w:rFonts w:ascii="Sylfaen" w:hAnsi="Sylfaen"/>
          <w:lang w:val="ka-GE"/>
        </w:rPr>
        <w:t xml:space="preserve"> და დამსაქმებლის საჭიროებებს შორის მაქსიმალურ ბალანსს</w:t>
      </w:r>
      <w:r w:rsidR="00A359A6" w:rsidRPr="00FE223D">
        <w:rPr>
          <w:rStyle w:val="FootnoteReference"/>
          <w:rFonts w:ascii="Sylfaen" w:hAnsi="Sylfaen"/>
        </w:rPr>
        <w:footnoteReference w:id="33"/>
      </w:r>
      <w:r w:rsidR="00A359A6" w:rsidRPr="00FE223D">
        <w:rPr>
          <w:rFonts w:ascii="Sylfaen" w:hAnsi="Sylfaen"/>
          <w:lang w:val="ka-GE"/>
        </w:rPr>
        <w:t xml:space="preserve">. გონივრული მისადაგების ღონისძიებების განსაზღვრისას, სახელმწიფო მხარემ უნდა უზრუნველყოს, რომ სახელმწიფო ორგანოებმა ეფექტური მოდიფიკაციების იდენტიფიცირება </w:t>
      </w:r>
      <w:r w:rsidR="00900365" w:rsidRPr="00FE223D">
        <w:rPr>
          <w:rFonts w:ascii="Sylfaen" w:hAnsi="Sylfaen"/>
          <w:lang w:val="ka-GE"/>
        </w:rPr>
        <w:t>მოახდინონ</w:t>
      </w:r>
      <w:r w:rsidR="00241E52" w:rsidRPr="00FE223D">
        <w:rPr>
          <w:rFonts w:ascii="Sylfaen" w:hAnsi="Sylfaen"/>
          <w:lang w:val="ka-GE"/>
        </w:rPr>
        <w:t xml:space="preserve">, რაც დასაქმებულს საკუთარი სამუშაო მოვალეობების შესრულების საშუალებას მისცემს. მოცემულ საქმეში კომიტეტი აღნიშნავს, რომ ავტორმა რამდენჯერმე განიზრახა, უნივერსიტეტისთვის და თანასწორობის </w:t>
      </w:r>
      <w:r w:rsidR="00440EF1" w:rsidRPr="00FE223D">
        <w:rPr>
          <w:rFonts w:ascii="Sylfaen" w:hAnsi="Sylfaen"/>
          <w:lang w:val="ka-GE"/>
        </w:rPr>
        <w:t>ომბუდსმე</w:t>
      </w:r>
      <w:r w:rsidR="00241E52" w:rsidRPr="00FE223D">
        <w:rPr>
          <w:rFonts w:ascii="Sylfaen" w:hAnsi="Sylfaen"/>
          <w:lang w:val="ka-GE"/>
        </w:rPr>
        <w:t>ნისთვის გონივრული მისადაგების ალტერნატიული ღონისძიებები შეეთავაზებინა. ის იმედოვნებდა, რომ სპეციალიზებული საჯარო ორგანო ამ საკითხს სასამართლო</w:t>
      </w:r>
      <w:r w:rsidR="00C514F4" w:rsidRPr="00FE223D">
        <w:rPr>
          <w:rFonts w:ascii="Sylfaen" w:hAnsi="Sylfaen"/>
          <w:lang w:val="ka-GE"/>
        </w:rPr>
        <w:t xml:space="preserve">ს წინაშე </w:t>
      </w:r>
      <w:r w:rsidR="00241E52" w:rsidRPr="00FE223D">
        <w:rPr>
          <w:rFonts w:ascii="Sylfaen" w:hAnsi="Sylfaen"/>
          <w:lang w:val="ka-GE"/>
        </w:rPr>
        <w:t xml:space="preserve">წამოწევდა. </w:t>
      </w:r>
      <w:r w:rsidR="00C514F4" w:rsidRPr="00FE223D">
        <w:rPr>
          <w:rFonts w:ascii="Sylfaen" w:hAnsi="Sylfaen"/>
          <w:lang w:val="ka-GE"/>
        </w:rPr>
        <w:t xml:space="preserve">ამ კონტექსტში, კომიტეტი სახელმწიფო მხარის განცხადებასაც შენიშნავს, რომ ავტორის დასაქმებისთვის მნიშვნელოვანი დაფინანსების ღონისძიებები </w:t>
      </w:r>
      <w:r w:rsidR="003F3FC6" w:rsidRPr="00FE223D">
        <w:rPr>
          <w:rFonts w:ascii="Sylfaen" w:hAnsi="Sylfaen"/>
          <w:lang w:val="ka-GE"/>
        </w:rPr>
        <w:t>ხელ</w:t>
      </w:r>
      <w:r w:rsidR="00C514F4" w:rsidRPr="00FE223D">
        <w:rPr>
          <w:rFonts w:ascii="Sylfaen" w:hAnsi="Sylfaen"/>
          <w:lang w:val="ka-GE"/>
        </w:rPr>
        <w:t>მისაწვდომი</w:t>
      </w:r>
      <w:r w:rsidR="003F3FC6" w:rsidRPr="00FE223D">
        <w:rPr>
          <w:rFonts w:ascii="Sylfaen" w:hAnsi="Sylfaen"/>
          <w:lang w:val="ka-GE"/>
        </w:rPr>
        <w:t xml:space="preserve"> იყო</w:t>
      </w:r>
      <w:r w:rsidR="00C514F4" w:rsidRPr="00FE223D">
        <w:rPr>
          <w:rFonts w:ascii="Sylfaen" w:hAnsi="Sylfaen"/>
          <w:lang w:val="ka-GE"/>
        </w:rPr>
        <w:t xml:space="preserve">, მაგალითად, ყოველდღიური თარჯიმანი და ხელფასის </w:t>
      </w:r>
      <w:r w:rsidR="003F3FC6" w:rsidRPr="00FE223D">
        <w:rPr>
          <w:rFonts w:ascii="Sylfaen" w:hAnsi="Sylfaen"/>
          <w:lang w:val="ka-GE"/>
        </w:rPr>
        <w:t>წლიური</w:t>
      </w:r>
      <w:r w:rsidR="003F3FC6" w:rsidRPr="00FE223D">
        <w:rPr>
          <w:rFonts w:ascii="Sylfaen" w:hAnsi="Sylfaen"/>
          <w:lang w:val="ka-GE"/>
        </w:rPr>
        <w:t xml:space="preserve"> </w:t>
      </w:r>
      <w:r w:rsidR="00C514F4" w:rsidRPr="00FE223D">
        <w:rPr>
          <w:rFonts w:ascii="Sylfaen" w:hAnsi="Sylfaen"/>
          <w:lang w:val="ka-GE"/>
        </w:rPr>
        <w:t xml:space="preserve">სუბსიდია. კომიტეტი ასევე აღნიშნავს, რომ სახელმწიფო მხარის მიხედვით, </w:t>
      </w:r>
      <w:r w:rsidR="003F3FC6" w:rsidRPr="00FE223D">
        <w:rPr>
          <w:rFonts w:ascii="Sylfaen" w:hAnsi="Sylfaen"/>
          <w:lang w:val="ka-GE"/>
        </w:rPr>
        <w:t>„</w:t>
      </w:r>
      <w:r w:rsidR="003F3FC6" w:rsidRPr="00FE223D">
        <w:rPr>
          <w:rFonts w:ascii="Sylfaen" w:hAnsi="Sylfaen"/>
          <w:lang w:val="ka-GE"/>
        </w:rPr>
        <w:t>მიუხედავად იმისა, რომ ზემოთ აღნიშნული სახელმწიფოს დაფინანსებული ღონისძიებები ერთადერთი იყო შრომის სასამართლოს მიერ მიღებულ გადაწყვეტილებაში, ეს სულაც არ ნიშნავს, რომ დაფინანსების სხვა წყაროები მიუწვდომელი იყო</w:t>
      </w:r>
      <w:r w:rsidR="003F3FC6" w:rsidRPr="00FE223D">
        <w:rPr>
          <w:rFonts w:ascii="Sylfaen" w:hAnsi="Sylfaen"/>
          <w:lang w:val="ka-GE"/>
        </w:rPr>
        <w:t>“,</w:t>
      </w:r>
      <w:r w:rsidR="003F3FC6" w:rsidRPr="00FE223D">
        <w:rPr>
          <w:rFonts w:ascii="Sylfaen" w:hAnsi="Sylfaen"/>
          <w:lang w:val="ka-GE"/>
        </w:rPr>
        <w:t xml:space="preserve"> </w:t>
      </w:r>
      <w:r w:rsidR="00A9683F" w:rsidRPr="00FE223D">
        <w:rPr>
          <w:rFonts w:ascii="Sylfaen" w:hAnsi="Sylfaen"/>
          <w:lang w:val="ka-GE"/>
        </w:rPr>
        <w:t xml:space="preserve">მაგრამ თანასწორობის </w:t>
      </w:r>
      <w:r w:rsidR="00440EF1" w:rsidRPr="00FE223D">
        <w:rPr>
          <w:rFonts w:ascii="Sylfaen" w:hAnsi="Sylfaen"/>
          <w:lang w:val="ka-GE"/>
        </w:rPr>
        <w:lastRenderedPageBreak/>
        <w:t>ომბუდსმე</w:t>
      </w:r>
      <w:r w:rsidR="00A9683F" w:rsidRPr="00FE223D">
        <w:rPr>
          <w:rFonts w:ascii="Sylfaen" w:hAnsi="Sylfaen"/>
          <w:lang w:val="ka-GE"/>
        </w:rPr>
        <w:t xml:space="preserve">ნმა ეს საკითხი წინ ვერ წამოწია, რამაც გამოიწვია ის, რომ სასამართლომ არ განიხილა დაფინანსების ამგვარი </w:t>
      </w:r>
      <w:r w:rsidR="003F3FC6" w:rsidRPr="00FE223D">
        <w:rPr>
          <w:rFonts w:ascii="Sylfaen" w:hAnsi="Sylfaen"/>
          <w:lang w:val="ka-GE"/>
        </w:rPr>
        <w:t>გზები</w:t>
      </w:r>
      <w:r w:rsidR="00A9683F" w:rsidRPr="00FE223D">
        <w:rPr>
          <w:rFonts w:ascii="Sylfaen" w:hAnsi="Sylfaen"/>
          <w:lang w:val="ka-GE"/>
        </w:rPr>
        <w:t xml:space="preserve"> (იხ. პარაგრაფები 4.26 და 4.27). ამ განცხადებების საშუალებით, სახელმწიფო მხარე აღიარებს, რომ სახელმწიფო ორგანოები მხარეების ინფორმირება</w:t>
      </w:r>
      <w:r w:rsidR="003F3FC6" w:rsidRPr="00FE223D">
        <w:rPr>
          <w:rFonts w:ascii="Sylfaen" w:hAnsi="Sylfaen"/>
          <w:lang w:val="ka-GE"/>
        </w:rPr>
        <w:t>ზე პასუხისმგებელნი არიან</w:t>
      </w:r>
      <w:r w:rsidR="00D83B95" w:rsidRPr="00FE223D">
        <w:rPr>
          <w:rFonts w:ascii="Sylfaen" w:hAnsi="Sylfaen"/>
          <w:lang w:val="ka-GE"/>
        </w:rPr>
        <w:t xml:space="preserve">. შესაბამისად, მათ მხარეებისთვის ინფორმაცია უნდა </w:t>
      </w:r>
      <w:r w:rsidR="003F3FC6" w:rsidRPr="00FE223D">
        <w:rPr>
          <w:rFonts w:ascii="Sylfaen" w:hAnsi="Sylfaen"/>
          <w:lang w:val="ka-GE"/>
        </w:rPr>
        <w:t>მიეწოდებინათ</w:t>
      </w:r>
      <w:r w:rsidR="00D83B95" w:rsidRPr="00FE223D">
        <w:rPr>
          <w:rFonts w:ascii="Sylfaen" w:hAnsi="Sylfaen"/>
          <w:lang w:val="ka-GE"/>
        </w:rPr>
        <w:t xml:space="preserve"> დაფინანსების შესახებაც, რაც ავტორის დასაქმების მხარდაჭერას შესაძლებელს გახდიდა. კომიტეტი არ აფიქსირებს საკუთარ მოსაზრებას გონივრული მისადაგების ალტერნატიული ღონისძიებისა და დაფინანსების სხვა გზების სავარაუდო შედეგებზე</w:t>
      </w:r>
      <w:r w:rsidR="003F3FC6" w:rsidRPr="00FE223D">
        <w:rPr>
          <w:rFonts w:ascii="Sylfaen" w:hAnsi="Sylfaen"/>
          <w:lang w:val="ka-GE"/>
        </w:rPr>
        <w:t>,</w:t>
      </w:r>
      <w:r w:rsidR="00D83B95" w:rsidRPr="00FE223D">
        <w:rPr>
          <w:rFonts w:ascii="Sylfaen" w:hAnsi="Sylfaen"/>
          <w:lang w:val="ka-GE"/>
        </w:rPr>
        <w:t xml:space="preserve"> თუმცა</w:t>
      </w:r>
      <w:r w:rsidR="003F3FC6" w:rsidRPr="00FE223D">
        <w:rPr>
          <w:rFonts w:ascii="Sylfaen" w:hAnsi="Sylfaen"/>
          <w:lang w:val="ka-GE"/>
        </w:rPr>
        <w:t>,</w:t>
      </w:r>
      <w:r w:rsidR="00D83B95" w:rsidRPr="00FE223D">
        <w:rPr>
          <w:rFonts w:ascii="Sylfaen" w:hAnsi="Sylfaen"/>
          <w:lang w:val="ka-GE"/>
        </w:rPr>
        <w:t xml:space="preserve"> მიიჩნევს, რომ პროცესში ჩართულმა ორგანოებმა </w:t>
      </w:r>
      <w:r w:rsidR="00451BA1" w:rsidRPr="00FE223D">
        <w:rPr>
          <w:rFonts w:ascii="Sylfaen" w:hAnsi="Sylfaen"/>
          <w:lang w:val="ka-GE"/>
        </w:rPr>
        <w:t>შშმ პირების დასაქმების უფლების რეალიზაციისთვის</w:t>
      </w:r>
      <w:r w:rsidR="003F3FC6" w:rsidRPr="00FE223D">
        <w:rPr>
          <w:rFonts w:ascii="Sylfaen" w:hAnsi="Sylfaen"/>
          <w:lang w:val="ka-GE"/>
        </w:rPr>
        <w:t xml:space="preserve"> </w:t>
      </w:r>
      <w:r w:rsidR="003F3FC6" w:rsidRPr="00FE223D">
        <w:rPr>
          <w:rFonts w:ascii="Sylfaen" w:hAnsi="Sylfaen"/>
          <w:lang w:val="ka-GE"/>
        </w:rPr>
        <w:t>ყველა ხელმისაწვდომი ზომა არ მიიღეს</w:t>
      </w:r>
      <w:r w:rsidR="00451BA1" w:rsidRPr="00FE223D">
        <w:rPr>
          <w:rFonts w:ascii="Sylfaen" w:hAnsi="Sylfaen"/>
          <w:lang w:val="ka-GE"/>
        </w:rPr>
        <w:t xml:space="preserve">. </w:t>
      </w:r>
    </w:p>
    <w:p w14:paraId="1054452A" w14:textId="6ADA9E07" w:rsidR="00451BA1" w:rsidRPr="00FE223D" w:rsidRDefault="00F0037F" w:rsidP="00561C5D">
      <w:pPr>
        <w:pStyle w:val="SingleTxtG"/>
        <w:rPr>
          <w:rFonts w:ascii="Sylfaen" w:hAnsi="Sylfaen"/>
          <w:lang w:val="ka-GE"/>
        </w:rPr>
      </w:pPr>
      <w:r w:rsidRPr="00FE223D">
        <w:rPr>
          <w:rFonts w:ascii="Sylfaen" w:hAnsi="Sylfaen"/>
        </w:rPr>
        <w:t>8.</w:t>
      </w:r>
      <w:r w:rsidR="00425A26" w:rsidRPr="00FE223D">
        <w:rPr>
          <w:rFonts w:ascii="Sylfaen" w:hAnsi="Sylfaen"/>
        </w:rPr>
        <w:t>10</w:t>
      </w:r>
      <w:r w:rsidRPr="00FE223D">
        <w:rPr>
          <w:rFonts w:ascii="Sylfaen" w:hAnsi="Sylfaen"/>
        </w:rPr>
        <w:tab/>
      </w:r>
      <w:r w:rsidR="00451BA1" w:rsidRPr="00FE223D">
        <w:rPr>
          <w:rFonts w:ascii="Sylfaen" w:hAnsi="Sylfaen"/>
          <w:lang w:val="ka-GE"/>
        </w:rPr>
        <w:t>საბოლოოდ, კომიტეტი შენიშნავს იმასაც, რომ, ავტორის თქმით, სახელმწიფო ორგანოებმა არ გაითვალისწინეს</w:t>
      </w:r>
      <w:r w:rsidR="00AF7378" w:rsidRPr="00FE223D">
        <w:rPr>
          <w:rFonts w:ascii="Sylfaen" w:hAnsi="Sylfaen"/>
          <w:lang w:val="ka-GE"/>
        </w:rPr>
        <w:t xml:space="preserve">, რომ </w:t>
      </w:r>
      <w:r w:rsidR="00451BA1" w:rsidRPr="00FE223D">
        <w:rPr>
          <w:rFonts w:ascii="Sylfaen" w:hAnsi="Sylfaen"/>
          <w:lang w:val="ka-GE"/>
        </w:rPr>
        <w:t xml:space="preserve">სმენის არმქონე ლექტორის დაქირავება </w:t>
      </w:r>
      <w:r w:rsidR="00AF7378" w:rsidRPr="00FE223D">
        <w:rPr>
          <w:rFonts w:ascii="Sylfaen" w:hAnsi="Sylfaen"/>
          <w:lang w:val="ka-GE"/>
        </w:rPr>
        <w:t>დადებით გავლენას მოახდენდა</w:t>
      </w:r>
      <w:r w:rsidR="00451BA1" w:rsidRPr="00FE223D">
        <w:rPr>
          <w:rFonts w:ascii="Sylfaen" w:hAnsi="Sylfaen"/>
          <w:lang w:val="ka-GE"/>
        </w:rPr>
        <w:t xml:space="preserve"> სტუდენტების</w:t>
      </w:r>
      <w:r w:rsidR="00AF7378" w:rsidRPr="00FE223D">
        <w:rPr>
          <w:rFonts w:ascii="Sylfaen" w:hAnsi="Sylfaen"/>
          <w:lang w:val="ka-GE"/>
        </w:rPr>
        <w:t>ა და თანამშრომლების დამოკიდებულებებზე მრავალფეროვნების მიმართ; მეტიც, ეს საზოგადოების შემადგენლობის ასახვაც იქნებოდა; ამის გარდა</w:t>
      </w:r>
      <w:r w:rsidR="003F3FC6" w:rsidRPr="00FE223D">
        <w:rPr>
          <w:rFonts w:ascii="Sylfaen" w:hAnsi="Sylfaen"/>
          <w:lang w:val="ka-GE"/>
        </w:rPr>
        <w:t>,</w:t>
      </w:r>
      <w:r w:rsidR="00AF7378" w:rsidRPr="00FE223D">
        <w:rPr>
          <w:rFonts w:ascii="Sylfaen" w:hAnsi="Sylfaen"/>
          <w:lang w:val="ka-GE"/>
        </w:rPr>
        <w:t xml:space="preserve"> ეს დადებით გავლენას მოახდენდა სხვა სმენის არმქონე</w:t>
      </w:r>
      <w:r w:rsidR="003F3FC6" w:rsidRPr="00FE223D">
        <w:rPr>
          <w:rFonts w:ascii="Sylfaen" w:hAnsi="Sylfaen"/>
          <w:lang w:val="ka-GE"/>
        </w:rPr>
        <w:t xml:space="preserve"> ან სმენადაქვეითებულ</w:t>
      </w:r>
      <w:r w:rsidR="00AF7378" w:rsidRPr="00FE223D">
        <w:rPr>
          <w:rFonts w:ascii="Sylfaen" w:hAnsi="Sylfaen"/>
          <w:lang w:val="ka-GE"/>
        </w:rPr>
        <w:t xml:space="preserve"> კანდიდატებზეც. ამასთან დაკავშირებით, კომიტეტი მიესალმება შრომის კომიტეტის მიერ იმ საკითხის განხილვას, რომ ავტორის დასაქმება სხვა შშმ დასაქმებულებისთვისაც სარგებლის მომტანი იქნებოდა. თუმცა კომიტეტი </w:t>
      </w:r>
      <w:r w:rsidR="00655FE3" w:rsidRPr="00FE223D">
        <w:rPr>
          <w:rFonts w:ascii="Sylfaen" w:hAnsi="Sylfaen"/>
          <w:lang w:val="ka-GE"/>
        </w:rPr>
        <w:t xml:space="preserve">საუბრობს </w:t>
      </w:r>
      <w:r w:rsidR="00AF7378" w:rsidRPr="00FE223D">
        <w:rPr>
          <w:rFonts w:ascii="Sylfaen" w:hAnsi="Sylfaen"/>
          <w:lang w:val="ka-GE"/>
        </w:rPr>
        <w:t xml:space="preserve">სასამართლოს </w:t>
      </w:r>
      <w:r w:rsidR="00183B2E" w:rsidRPr="00FE223D">
        <w:rPr>
          <w:rFonts w:ascii="Sylfaen" w:hAnsi="Sylfaen"/>
          <w:lang w:val="ka-GE"/>
        </w:rPr>
        <w:t xml:space="preserve">იმ </w:t>
      </w:r>
      <w:r w:rsidR="00AF7378" w:rsidRPr="00FE223D">
        <w:rPr>
          <w:rFonts w:ascii="Sylfaen" w:hAnsi="Sylfaen"/>
          <w:lang w:val="ka-GE"/>
        </w:rPr>
        <w:t>გადაწყვეტილება</w:t>
      </w:r>
      <w:r w:rsidR="00655FE3" w:rsidRPr="00FE223D">
        <w:rPr>
          <w:rFonts w:ascii="Sylfaen" w:hAnsi="Sylfaen"/>
          <w:lang w:val="ka-GE"/>
        </w:rPr>
        <w:t>ზე, რომ ჟესტური ენის თარჯიმანი სარგებლის მომტანი არ იქნებოდა სხვა  სმენის არმქონე ან სმენადაქვეითებული</w:t>
      </w:r>
      <w:r w:rsidR="00183B2E" w:rsidRPr="00FE223D">
        <w:rPr>
          <w:rFonts w:ascii="Sylfaen" w:hAnsi="Sylfaen"/>
          <w:lang w:val="ka-GE"/>
        </w:rPr>
        <w:t xml:space="preserve"> აპლიკანტებისთვის ან </w:t>
      </w:r>
      <w:r w:rsidR="00655FE3" w:rsidRPr="00FE223D">
        <w:rPr>
          <w:rFonts w:ascii="Sylfaen" w:hAnsi="Sylfaen"/>
          <w:lang w:val="ka-GE"/>
        </w:rPr>
        <w:t xml:space="preserve">დასაქმებულებისთვის. კომიტეტი მიიჩნევს, რომ მსჯელობა ავტორთან დაკავშირებულ სპეციფიკურ ღონისძიებაზე ფოკუსირდებოდა, </w:t>
      </w:r>
      <w:r w:rsidR="00183B2E" w:rsidRPr="00FE223D">
        <w:rPr>
          <w:rFonts w:ascii="Sylfaen" w:hAnsi="Sylfaen"/>
          <w:lang w:val="ka-GE"/>
        </w:rPr>
        <w:t>თუმცა</w:t>
      </w:r>
      <w:r w:rsidR="00655FE3" w:rsidRPr="00FE223D">
        <w:rPr>
          <w:rFonts w:ascii="Sylfaen" w:hAnsi="Sylfaen"/>
          <w:lang w:val="ka-GE"/>
        </w:rPr>
        <w:t xml:space="preserve"> არ ითვალისწინებდა სასამართლო შეფასების ნეგატიურ გავლენას უფრო ზოგადი აზრით: არ ითვალისწინებდა იმას, რომ პოტენციურ </w:t>
      </w:r>
      <w:r w:rsidR="00183B2E" w:rsidRPr="00FE223D">
        <w:rPr>
          <w:rFonts w:ascii="Sylfaen" w:hAnsi="Sylfaen"/>
          <w:lang w:val="ka-GE"/>
        </w:rPr>
        <w:t>დამსაქმებლებს</w:t>
      </w:r>
      <w:r w:rsidR="00655FE3" w:rsidRPr="00FE223D">
        <w:rPr>
          <w:rFonts w:ascii="Sylfaen" w:hAnsi="Sylfaen"/>
          <w:lang w:val="ka-GE"/>
        </w:rPr>
        <w:t xml:space="preserve">, შესაძლოა, თავი შეეკავებინათ მსგავს პოზიციებზე სმენადაქვეითებული ან სმენის არმქონე პირების დასაქმებისგან. </w:t>
      </w:r>
    </w:p>
    <w:p w14:paraId="4BF88DDA" w14:textId="671BDE28" w:rsidR="00C17CA3" w:rsidRPr="00FE223D" w:rsidRDefault="00425A26" w:rsidP="00561C5D">
      <w:pPr>
        <w:pStyle w:val="SingleTxtG"/>
        <w:rPr>
          <w:rFonts w:ascii="Sylfaen" w:hAnsi="Sylfaen"/>
          <w:iCs/>
          <w:lang w:val="ka-GE"/>
        </w:rPr>
      </w:pPr>
      <w:r w:rsidRPr="00FE223D">
        <w:rPr>
          <w:rFonts w:ascii="Sylfaen" w:hAnsi="Sylfaen"/>
          <w:lang w:val="en-US"/>
        </w:rPr>
        <w:t>8.11</w:t>
      </w:r>
      <w:r w:rsidR="00F0037F" w:rsidRPr="00FE223D">
        <w:rPr>
          <w:rFonts w:ascii="Sylfaen" w:hAnsi="Sylfaen"/>
          <w:lang w:val="en-US"/>
        </w:rPr>
        <w:tab/>
      </w:r>
      <w:r w:rsidR="00C17CA3" w:rsidRPr="00FE223D">
        <w:rPr>
          <w:rFonts w:ascii="Sylfaen" w:hAnsi="Sylfaen"/>
          <w:lang w:val="ka-GE"/>
        </w:rPr>
        <w:t>ზემოთ აღნიშნული ინფორმაციის გათვალისწინებით, კომიტეტი მიიჩნევს, რომ სახელმწიფო მხარის ორგანოების ინტერვენციებმა და გადაწყვეტილებებმა შეამცირეს შშმ პირების ისეთ პოზიციებზე დასაქმების შანსი, რომლებიც სამუშაო გარემოს მათ საჭიროებებთან ადაპტირებას მოითხოვს. კერძოდ, ის მიიჩნევს, რომ შრომის სასამართლოს მიერ წარმოდგენილი მხარდაჭერისა და ადაპტირების ღონისძიებების შეფასებამ</w:t>
      </w:r>
      <w:r w:rsidR="00A828F6" w:rsidRPr="00FE223D">
        <w:rPr>
          <w:rFonts w:ascii="Sylfaen" w:hAnsi="Sylfaen"/>
          <w:lang w:val="ka-GE"/>
        </w:rPr>
        <w:t xml:space="preserve"> </w:t>
      </w:r>
      <w:r w:rsidR="00C17CA3" w:rsidRPr="00FE223D">
        <w:rPr>
          <w:rFonts w:ascii="Sylfaen" w:hAnsi="Sylfaen"/>
          <w:lang w:val="ka-GE"/>
        </w:rPr>
        <w:t>გონივრულ მისადაგებაზე უარის თქმა</w:t>
      </w:r>
      <w:r w:rsidR="00183B2E" w:rsidRPr="00FE223D">
        <w:rPr>
          <w:rFonts w:ascii="Sylfaen" w:hAnsi="Sylfaen"/>
          <w:lang w:val="ka-GE"/>
        </w:rPr>
        <w:t xml:space="preserve"> დაამტკიცა</w:t>
      </w:r>
      <w:r w:rsidR="00C17CA3" w:rsidRPr="00FE223D">
        <w:rPr>
          <w:rFonts w:ascii="Sylfaen" w:hAnsi="Sylfaen"/>
          <w:lang w:val="ka-GE"/>
        </w:rPr>
        <w:t xml:space="preserve">, რამაც ავტორის </w:t>
      </w:r>
      <w:r w:rsidR="00183B2E" w:rsidRPr="00FE223D">
        <w:rPr>
          <w:rFonts w:ascii="Sylfaen" w:hAnsi="Sylfaen"/>
          <w:iCs/>
          <w:lang w:val="ka-GE"/>
        </w:rPr>
        <w:t>იმ თანამდებობიდან</w:t>
      </w:r>
      <w:r w:rsidR="00183B2E" w:rsidRPr="00FE223D">
        <w:rPr>
          <w:rFonts w:ascii="Sylfaen" w:hAnsi="Sylfaen"/>
          <w:iCs/>
          <w:lang w:val="ka-GE"/>
        </w:rPr>
        <w:t xml:space="preserve"> </w:t>
      </w:r>
      <w:r w:rsidR="00C17CA3" w:rsidRPr="00FE223D">
        <w:rPr>
          <w:rFonts w:ascii="Sylfaen" w:hAnsi="Sylfaen"/>
          <w:i/>
          <w:lang w:val="en-US"/>
        </w:rPr>
        <w:t>de facto</w:t>
      </w:r>
      <w:r w:rsidR="00C17CA3" w:rsidRPr="00FE223D">
        <w:rPr>
          <w:rFonts w:ascii="Sylfaen" w:hAnsi="Sylfaen"/>
          <w:i/>
          <w:lang w:val="ka-GE"/>
        </w:rPr>
        <w:t xml:space="preserve"> </w:t>
      </w:r>
      <w:r w:rsidR="00C17CA3" w:rsidRPr="00FE223D">
        <w:rPr>
          <w:rFonts w:ascii="Sylfaen" w:hAnsi="Sylfaen"/>
          <w:iCs/>
          <w:lang w:val="ka-GE"/>
        </w:rPr>
        <w:t xml:space="preserve">დისკრიმინაციული გარიყვა </w:t>
      </w:r>
      <w:r w:rsidR="00A828F6" w:rsidRPr="00FE223D">
        <w:rPr>
          <w:rFonts w:ascii="Sylfaen" w:hAnsi="Sylfaen"/>
          <w:iCs/>
          <w:lang w:val="ka-GE"/>
        </w:rPr>
        <w:t>გამოიწვია, რომ</w:t>
      </w:r>
      <w:r w:rsidR="00183B2E" w:rsidRPr="00FE223D">
        <w:rPr>
          <w:rFonts w:ascii="Sylfaen" w:hAnsi="Sylfaen"/>
          <w:iCs/>
          <w:lang w:val="ka-GE"/>
        </w:rPr>
        <w:t>ელზე</w:t>
      </w:r>
      <w:r w:rsidR="00A828F6" w:rsidRPr="00FE223D">
        <w:rPr>
          <w:rFonts w:ascii="Sylfaen" w:hAnsi="Sylfaen"/>
          <w:iCs/>
          <w:lang w:val="ka-GE"/>
        </w:rPr>
        <w:t xml:space="preserve"> განაცხადი</w:t>
      </w:r>
      <w:r w:rsidR="00183B2E" w:rsidRPr="00FE223D">
        <w:rPr>
          <w:rFonts w:ascii="Sylfaen" w:hAnsi="Sylfaen"/>
          <w:iCs/>
          <w:lang w:val="ka-GE"/>
        </w:rPr>
        <w:t>ც</w:t>
      </w:r>
      <w:r w:rsidR="00A828F6" w:rsidRPr="00FE223D">
        <w:rPr>
          <w:rFonts w:ascii="Sylfaen" w:hAnsi="Sylfaen"/>
          <w:iCs/>
          <w:lang w:val="ka-GE"/>
        </w:rPr>
        <w:t xml:space="preserve"> შეიტანა</w:t>
      </w:r>
      <w:r w:rsidR="00183B2E" w:rsidRPr="00FE223D">
        <w:rPr>
          <w:rFonts w:ascii="Sylfaen" w:hAnsi="Sylfaen"/>
          <w:iCs/>
          <w:lang w:val="ka-GE"/>
        </w:rPr>
        <w:t>. ამით, დამსაქმებელმა</w:t>
      </w:r>
      <w:r w:rsidR="00A828F6" w:rsidRPr="00FE223D">
        <w:rPr>
          <w:rFonts w:ascii="Sylfaen" w:hAnsi="Sylfaen"/>
          <w:iCs/>
          <w:lang w:val="ka-GE"/>
        </w:rPr>
        <w:t xml:space="preserve"> დაარღვია კონვენციის მე-5 და 27-ე მუხლებში გაწერილი მისი უფლებები. </w:t>
      </w:r>
    </w:p>
    <w:p w14:paraId="54456C41" w14:textId="6A23B753" w:rsidR="00F0037F" w:rsidRPr="00FE223D" w:rsidRDefault="00F0037F" w:rsidP="00561C5D">
      <w:pPr>
        <w:pStyle w:val="H1G"/>
        <w:rPr>
          <w:rFonts w:ascii="Sylfaen" w:hAnsi="Sylfaen"/>
        </w:rPr>
      </w:pPr>
      <w:r w:rsidRPr="00FE223D">
        <w:rPr>
          <w:rFonts w:ascii="Sylfaen" w:hAnsi="Sylfaen"/>
        </w:rPr>
        <w:tab/>
        <w:t>C.</w:t>
      </w:r>
      <w:r w:rsidRPr="00FE223D">
        <w:rPr>
          <w:rFonts w:ascii="Sylfaen" w:hAnsi="Sylfaen"/>
        </w:rPr>
        <w:tab/>
      </w:r>
      <w:r w:rsidR="00A828F6" w:rsidRPr="00FE223D">
        <w:rPr>
          <w:rFonts w:ascii="Sylfaen" w:hAnsi="Sylfaen"/>
          <w:lang w:val="ka-GE"/>
        </w:rPr>
        <w:t>დასკვნები და რეკომენდაციები</w:t>
      </w:r>
    </w:p>
    <w:p w14:paraId="4AB7724D" w14:textId="0F12FF5E" w:rsidR="00A828F6" w:rsidRPr="00FE223D" w:rsidRDefault="00F0037F" w:rsidP="00561C5D">
      <w:pPr>
        <w:pStyle w:val="SingleTxtG"/>
        <w:rPr>
          <w:rFonts w:ascii="Sylfaen" w:hAnsi="Sylfaen"/>
          <w:lang w:val="ka-GE"/>
        </w:rPr>
      </w:pPr>
      <w:r w:rsidRPr="00FE223D">
        <w:rPr>
          <w:rFonts w:ascii="Sylfaen" w:hAnsi="Sylfaen"/>
        </w:rPr>
        <w:t>9.</w:t>
      </w:r>
      <w:r w:rsidRPr="00FE223D">
        <w:rPr>
          <w:rFonts w:ascii="Sylfaen" w:hAnsi="Sylfaen"/>
        </w:rPr>
        <w:tab/>
      </w:r>
      <w:r w:rsidR="00A828F6" w:rsidRPr="00FE223D">
        <w:rPr>
          <w:rFonts w:ascii="Sylfaen" w:hAnsi="Sylfaen"/>
          <w:lang w:val="ka-GE"/>
        </w:rPr>
        <w:t xml:space="preserve">კომიტეტი, რომელიც ფაკულტატური ოქმის მე-5 მუხლის მიხედვით მოქმედებს, მიიჩნევს, რომ სახელმწიფო მხარემ ვერ შეასრულა კონვენციის მე-5 და 27-ე მუხლებით ნაკისრი ვალდებულებები. ამიტომ, კომიტეტი სახელმწიფო მხარეს შემდეგი რეკომენდაციებით მიმართავს: </w:t>
      </w:r>
    </w:p>
    <w:p w14:paraId="501CAB38" w14:textId="31684461" w:rsidR="00F0037F" w:rsidRPr="00FE223D" w:rsidRDefault="00561C5D" w:rsidP="00561C5D">
      <w:pPr>
        <w:pStyle w:val="SingleTxtG"/>
        <w:rPr>
          <w:rFonts w:ascii="Sylfaen" w:hAnsi="Sylfaen"/>
        </w:rPr>
      </w:pPr>
      <w:r w:rsidRPr="00FE223D">
        <w:rPr>
          <w:rFonts w:ascii="Sylfaen" w:hAnsi="Sylfaen"/>
        </w:rPr>
        <w:tab/>
      </w:r>
      <w:r w:rsidR="00F0037F" w:rsidRPr="00FE223D">
        <w:rPr>
          <w:rFonts w:ascii="Sylfaen" w:hAnsi="Sylfaen"/>
        </w:rPr>
        <w:tab/>
        <w:t>(a)</w:t>
      </w:r>
      <w:r w:rsidR="00F0037F" w:rsidRPr="00FE223D">
        <w:rPr>
          <w:rFonts w:ascii="Sylfaen" w:hAnsi="Sylfaen"/>
        </w:rPr>
        <w:tab/>
      </w:r>
      <w:r w:rsidR="00A828F6" w:rsidRPr="00FE223D">
        <w:rPr>
          <w:rFonts w:ascii="Sylfaen" w:hAnsi="Sylfaen"/>
          <w:lang w:val="ka-GE"/>
        </w:rPr>
        <w:t>ავტორთან დაკავშირებით, სახელმწიფო მხარე ვალდებულია</w:t>
      </w:r>
      <w:r w:rsidR="00F0037F" w:rsidRPr="00FE223D">
        <w:rPr>
          <w:rFonts w:ascii="Sylfaen" w:hAnsi="Sylfaen"/>
        </w:rPr>
        <w:t>:</w:t>
      </w:r>
    </w:p>
    <w:p w14:paraId="034248E9" w14:textId="45803818" w:rsidR="00A828F6" w:rsidRPr="00FE223D" w:rsidRDefault="00F0037F" w:rsidP="00D568BC">
      <w:pPr>
        <w:pStyle w:val="SingleTxtG"/>
        <w:ind w:left="1701"/>
        <w:rPr>
          <w:rFonts w:ascii="Sylfaen" w:hAnsi="Sylfaen"/>
          <w:lang w:val="ka-GE"/>
        </w:rPr>
      </w:pPr>
      <w:r w:rsidRPr="00FE223D">
        <w:rPr>
          <w:rFonts w:ascii="Sylfaen" w:hAnsi="Sylfaen"/>
        </w:rPr>
        <w:t>(i)</w:t>
      </w:r>
      <w:r w:rsidRPr="00FE223D">
        <w:rPr>
          <w:rFonts w:ascii="Sylfaen" w:hAnsi="Sylfaen"/>
        </w:rPr>
        <w:tab/>
      </w:r>
      <w:r w:rsidR="00AD5D27" w:rsidRPr="00FE223D">
        <w:rPr>
          <w:rFonts w:ascii="Sylfaen" w:hAnsi="Sylfaen"/>
          <w:lang w:val="ka-GE"/>
        </w:rPr>
        <w:t xml:space="preserve">უზრუნველყოს მისი სამართლებრივი დაცვის ეფექტური საშუალებები, მათ შორის, აუნაზღაუროს ნებისმიერი სამართლებრივი ხარჯი და გადაუხადოს კომპენსაცია. </w:t>
      </w:r>
    </w:p>
    <w:p w14:paraId="4ACC9A9B" w14:textId="599A8741" w:rsidR="00AD5D27" w:rsidRPr="00FE223D" w:rsidRDefault="00F0037F" w:rsidP="00AD5D27">
      <w:pPr>
        <w:pStyle w:val="SingleTxtG"/>
        <w:ind w:left="1701"/>
        <w:rPr>
          <w:rFonts w:ascii="Sylfaen" w:hAnsi="Sylfaen"/>
          <w:lang w:val="ka-GE"/>
        </w:rPr>
      </w:pPr>
      <w:r w:rsidRPr="00FE223D">
        <w:rPr>
          <w:rFonts w:ascii="Sylfaen" w:hAnsi="Sylfaen"/>
        </w:rPr>
        <w:t>(ii)</w:t>
      </w:r>
      <w:r w:rsidRPr="00FE223D">
        <w:rPr>
          <w:rFonts w:ascii="Sylfaen" w:hAnsi="Sylfaen"/>
        </w:rPr>
        <w:tab/>
      </w:r>
      <w:r w:rsidR="00AD5D27" w:rsidRPr="00FE223D">
        <w:rPr>
          <w:rFonts w:ascii="Sylfaen" w:hAnsi="Sylfaen" w:cs="Sylfaen"/>
        </w:rPr>
        <w:t>გამოაქვეყნ</w:t>
      </w:r>
      <w:r w:rsidR="00AD5D27" w:rsidRPr="00FE223D">
        <w:rPr>
          <w:rFonts w:ascii="Sylfaen" w:hAnsi="Sylfaen" w:cs="Sylfaen"/>
          <w:lang w:val="ka-GE"/>
        </w:rPr>
        <w:t>ოს</w:t>
      </w:r>
      <w:r w:rsidR="00AD5D27" w:rsidRPr="00FE223D">
        <w:rPr>
          <w:rFonts w:ascii="Sylfaen" w:hAnsi="Sylfaen"/>
        </w:rPr>
        <w:t xml:space="preserve"> </w:t>
      </w:r>
      <w:r w:rsidR="00AD5D27" w:rsidRPr="00FE223D">
        <w:rPr>
          <w:rFonts w:ascii="Sylfaen" w:hAnsi="Sylfaen" w:cs="Sylfaen"/>
          <w:lang w:val="ka-GE"/>
        </w:rPr>
        <w:t>მოცემული ხედვები</w:t>
      </w:r>
      <w:r w:rsidR="00AD5D27" w:rsidRPr="00FE223D">
        <w:rPr>
          <w:rFonts w:ascii="Sylfaen" w:hAnsi="Sylfaen"/>
        </w:rPr>
        <w:t xml:space="preserve"> </w:t>
      </w:r>
      <w:r w:rsidR="00AD5D27" w:rsidRPr="00FE223D">
        <w:rPr>
          <w:rFonts w:ascii="Sylfaen" w:hAnsi="Sylfaen" w:cs="Sylfaen"/>
        </w:rPr>
        <w:t>და</w:t>
      </w:r>
      <w:r w:rsidR="00AD5D27" w:rsidRPr="00FE223D">
        <w:rPr>
          <w:rFonts w:ascii="Sylfaen" w:hAnsi="Sylfaen"/>
        </w:rPr>
        <w:t xml:space="preserve"> </w:t>
      </w:r>
      <w:r w:rsidR="00AD5D27" w:rsidRPr="00FE223D">
        <w:rPr>
          <w:rFonts w:ascii="Sylfaen" w:hAnsi="Sylfaen" w:cs="Sylfaen"/>
          <w:lang w:val="ka-GE"/>
        </w:rPr>
        <w:t>მისაწვდომ ფორმატებში გაავრცელოს</w:t>
      </w:r>
      <w:r w:rsidR="00AD5D27" w:rsidRPr="00FE223D">
        <w:rPr>
          <w:rFonts w:ascii="Sylfaen" w:hAnsi="Sylfaen"/>
        </w:rPr>
        <w:t xml:space="preserve">, </w:t>
      </w:r>
      <w:r w:rsidR="00AD5D27" w:rsidRPr="00FE223D">
        <w:rPr>
          <w:rFonts w:ascii="Sylfaen" w:hAnsi="Sylfaen" w:cs="Sylfaen"/>
        </w:rPr>
        <w:t>რათა</w:t>
      </w:r>
      <w:r w:rsidR="00AD5D27" w:rsidRPr="00FE223D">
        <w:rPr>
          <w:rFonts w:ascii="Sylfaen" w:hAnsi="Sylfaen" w:cs="Sylfaen"/>
          <w:lang w:val="ka-GE"/>
        </w:rPr>
        <w:t xml:space="preserve"> ისინი ხელ</w:t>
      </w:r>
      <w:r w:rsidR="00AD5D27" w:rsidRPr="00FE223D">
        <w:rPr>
          <w:rFonts w:ascii="Sylfaen" w:hAnsi="Sylfaen" w:cs="Sylfaen"/>
        </w:rPr>
        <w:t>მისაწვდომი</w:t>
      </w:r>
      <w:r w:rsidR="00AD5D27" w:rsidRPr="00FE223D">
        <w:rPr>
          <w:rFonts w:ascii="Sylfaen" w:hAnsi="Sylfaen"/>
        </w:rPr>
        <w:t xml:space="preserve"> </w:t>
      </w:r>
      <w:r w:rsidR="00AD5D27" w:rsidRPr="00FE223D">
        <w:rPr>
          <w:rFonts w:ascii="Sylfaen" w:hAnsi="Sylfaen" w:cs="Sylfaen"/>
        </w:rPr>
        <w:t>იყოს</w:t>
      </w:r>
      <w:r w:rsidR="00AD5D27" w:rsidRPr="00FE223D">
        <w:rPr>
          <w:rFonts w:ascii="Sylfaen" w:hAnsi="Sylfaen"/>
        </w:rPr>
        <w:t xml:space="preserve"> </w:t>
      </w:r>
      <w:r w:rsidR="00AD5D27" w:rsidRPr="00FE223D">
        <w:rPr>
          <w:rFonts w:ascii="Sylfaen" w:hAnsi="Sylfaen" w:cs="Sylfaen"/>
        </w:rPr>
        <w:t>მოსახლეობის</w:t>
      </w:r>
      <w:r w:rsidR="00AD5D27" w:rsidRPr="00FE223D">
        <w:rPr>
          <w:rFonts w:ascii="Sylfaen" w:hAnsi="Sylfaen"/>
        </w:rPr>
        <w:t xml:space="preserve"> </w:t>
      </w:r>
      <w:r w:rsidR="00AD5D27" w:rsidRPr="00FE223D">
        <w:rPr>
          <w:rFonts w:ascii="Sylfaen" w:hAnsi="Sylfaen" w:cs="Sylfaen"/>
        </w:rPr>
        <w:t>ყველა</w:t>
      </w:r>
      <w:r w:rsidR="00AD5D27" w:rsidRPr="00FE223D">
        <w:rPr>
          <w:rFonts w:ascii="Sylfaen" w:hAnsi="Sylfaen"/>
        </w:rPr>
        <w:t xml:space="preserve"> </w:t>
      </w:r>
      <w:r w:rsidR="00AD5D27" w:rsidRPr="00FE223D">
        <w:rPr>
          <w:rFonts w:ascii="Sylfaen" w:hAnsi="Sylfaen" w:cs="Sylfaen"/>
        </w:rPr>
        <w:t>სექტორისთვის</w:t>
      </w:r>
      <w:r w:rsidR="00AD5D27" w:rsidRPr="00FE223D">
        <w:rPr>
          <w:rFonts w:ascii="Sylfaen" w:hAnsi="Sylfaen"/>
        </w:rPr>
        <w:t>.</w:t>
      </w:r>
    </w:p>
    <w:p w14:paraId="0412E5A1" w14:textId="5AC372CB" w:rsidR="00AD5D27" w:rsidRPr="00FE223D" w:rsidRDefault="00D568BC" w:rsidP="00D568BC">
      <w:pPr>
        <w:pStyle w:val="SingleTxtG"/>
        <w:rPr>
          <w:rFonts w:ascii="Sylfaen" w:hAnsi="Sylfaen"/>
          <w:lang w:val="ka-GE"/>
        </w:rPr>
      </w:pPr>
      <w:r w:rsidRPr="00FE223D">
        <w:rPr>
          <w:rFonts w:ascii="Sylfaen" w:hAnsi="Sylfaen"/>
        </w:rPr>
        <w:lastRenderedPageBreak/>
        <w:tab/>
      </w:r>
      <w:r w:rsidR="00F0037F" w:rsidRPr="00FE223D">
        <w:rPr>
          <w:rFonts w:ascii="Sylfaen" w:hAnsi="Sylfaen"/>
        </w:rPr>
        <w:tab/>
        <w:t>(b)</w:t>
      </w:r>
      <w:r w:rsidR="00F0037F" w:rsidRPr="00FE223D">
        <w:rPr>
          <w:rFonts w:ascii="Sylfaen" w:hAnsi="Sylfaen"/>
        </w:rPr>
        <w:tab/>
      </w:r>
      <w:r w:rsidR="00AD5D27" w:rsidRPr="00FE223D">
        <w:rPr>
          <w:rFonts w:ascii="Sylfaen" w:hAnsi="Sylfaen"/>
          <w:lang w:val="ka-GE"/>
        </w:rPr>
        <w:t xml:space="preserve">ზოგადად, სახელმწიფო მხარე ვალდებულია </w:t>
      </w:r>
      <w:r w:rsidR="002E063A" w:rsidRPr="00FE223D">
        <w:rPr>
          <w:rFonts w:ascii="Sylfaen" w:hAnsi="Sylfaen"/>
          <w:lang w:val="ka-GE"/>
        </w:rPr>
        <w:t xml:space="preserve">მიმართოს ზომებს, რათა მომავალში ადამიანის უფლებების მსგავსი დარღვევები აირიდოს თავიდან. ასეთი ზომები გულისხმობს: </w:t>
      </w:r>
    </w:p>
    <w:p w14:paraId="2C654C37" w14:textId="0900C949" w:rsidR="002E063A" w:rsidRPr="00FE223D" w:rsidRDefault="00F0037F" w:rsidP="00F0037F">
      <w:pPr>
        <w:pStyle w:val="SingleTxtG"/>
        <w:ind w:left="1701"/>
        <w:rPr>
          <w:rFonts w:ascii="Sylfaen" w:hAnsi="Sylfaen"/>
          <w:lang w:val="ka-GE"/>
        </w:rPr>
      </w:pPr>
      <w:r w:rsidRPr="00FE223D">
        <w:rPr>
          <w:rFonts w:ascii="Sylfaen" w:hAnsi="Sylfaen"/>
        </w:rPr>
        <w:t>(i)</w:t>
      </w:r>
      <w:r w:rsidRPr="00FE223D">
        <w:rPr>
          <w:rFonts w:ascii="Sylfaen" w:hAnsi="Sylfaen"/>
        </w:rPr>
        <w:tab/>
      </w:r>
      <w:r w:rsidR="002E063A" w:rsidRPr="00FE223D">
        <w:rPr>
          <w:rFonts w:ascii="Sylfaen" w:hAnsi="Sylfaen"/>
          <w:lang w:val="ka-GE"/>
        </w:rPr>
        <w:t xml:space="preserve">კონკრეტული ზომების მიღება შეზღუდული შესაძლებლობის მქონე პირთა დასაქმების პრაქტიკაში ხელშეწყობის უზრუნველსაყოფად; კონკრეტული ზომების მიღება იმის უზრუნველსაყოფად, რომ გონივრული მისადაგების ღონისძიებების პროპორციულობისა და საფუძვლიანობის შეფასების კრიტერიუმები </w:t>
      </w:r>
      <w:r w:rsidR="005D6AF3" w:rsidRPr="00FE223D">
        <w:rPr>
          <w:rFonts w:ascii="Sylfaen" w:hAnsi="Sylfaen"/>
          <w:lang w:val="ka-GE"/>
        </w:rPr>
        <w:t xml:space="preserve">კონვენციით გაწერილ პრინციპებთან </w:t>
      </w:r>
      <w:r w:rsidR="000A2962" w:rsidRPr="00FE223D">
        <w:rPr>
          <w:rFonts w:ascii="Sylfaen" w:hAnsi="Sylfaen"/>
          <w:lang w:val="ka-GE"/>
        </w:rPr>
        <w:t>შესაბამისობაში</w:t>
      </w:r>
      <w:r w:rsidR="005D6AF3" w:rsidRPr="00FE223D">
        <w:rPr>
          <w:rFonts w:ascii="Sylfaen" w:hAnsi="Sylfaen"/>
          <w:lang w:val="ka-GE"/>
        </w:rPr>
        <w:t xml:space="preserve"> შეფასდეს; კონკრეტული ზომების მიღება შშმ პირთან დიალოგის სისტემატურად უზრუნველსაყოფად, რათა მას საკუთარი უფლებების სხვებთან თანასწორად რეალიზების საშუალება მიეცეს. </w:t>
      </w:r>
    </w:p>
    <w:p w14:paraId="3A8BD83E" w14:textId="0504B61B" w:rsidR="00012EC1" w:rsidRPr="00FE223D" w:rsidRDefault="00F0037F" w:rsidP="00012EC1">
      <w:pPr>
        <w:pStyle w:val="SingleTxtG"/>
        <w:ind w:left="1701"/>
        <w:rPr>
          <w:rFonts w:ascii="Sylfaen" w:hAnsi="Sylfaen"/>
          <w:lang w:val="ka-GE"/>
        </w:rPr>
      </w:pPr>
      <w:r w:rsidRPr="00FE223D">
        <w:rPr>
          <w:rFonts w:ascii="Sylfaen" w:hAnsi="Sylfaen"/>
        </w:rPr>
        <w:t>(ii)</w:t>
      </w:r>
      <w:r w:rsidRPr="00FE223D">
        <w:rPr>
          <w:rFonts w:ascii="Sylfaen" w:hAnsi="Sylfaen"/>
        </w:rPr>
        <w:tab/>
      </w:r>
      <w:r w:rsidR="00012EC1" w:rsidRPr="00FE223D">
        <w:rPr>
          <w:rFonts w:ascii="Sylfaen" w:hAnsi="Sylfaen"/>
          <w:lang w:val="ka-GE"/>
        </w:rPr>
        <w:t>სახელმწიფო მოხელეების (რომლებიც დაქირავების პროცესში არიან ჩართულები ან სამართლებრივ სფეროში არიან, განსაკუთრებით, შრომის სასამართლოში მუშაობენ) შესაბამისი და რეგულარული ტრენინგებით უზრუნველყოფა ისეთი საკითხების გარშემო, როგორებიცაა კონვენცია და მისი ფაკულტატური ოქმი</w:t>
      </w:r>
      <w:r w:rsidR="00427835" w:rsidRPr="00FE223D">
        <w:rPr>
          <w:rFonts w:ascii="Sylfaen" w:hAnsi="Sylfaen"/>
          <w:lang w:val="ka-GE"/>
        </w:rPr>
        <w:t xml:space="preserve"> და</w:t>
      </w:r>
      <w:r w:rsidR="00012EC1" w:rsidRPr="00FE223D">
        <w:rPr>
          <w:rFonts w:ascii="Sylfaen" w:hAnsi="Sylfaen"/>
          <w:lang w:val="ka-GE"/>
        </w:rPr>
        <w:t xml:space="preserve"> </w:t>
      </w:r>
      <w:r w:rsidR="00427835" w:rsidRPr="00FE223D">
        <w:rPr>
          <w:rFonts w:ascii="Sylfaen" w:hAnsi="Sylfaen"/>
          <w:lang w:val="ka-GE"/>
        </w:rPr>
        <w:t>შშმ პირების სამუშაო ადგილზე დაწინაურება კონვენციის</w:t>
      </w:r>
      <w:r w:rsidR="000A2962" w:rsidRPr="00FE223D">
        <w:rPr>
          <w:rFonts w:ascii="Sylfaen" w:hAnsi="Sylfaen"/>
          <w:lang w:val="ka-GE"/>
        </w:rPr>
        <w:t xml:space="preserve"> (</w:t>
      </w:r>
      <w:r w:rsidR="00427835" w:rsidRPr="00FE223D">
        <w:rPr>
          <w:rFonts w:ascii="Sylfaen" w:hAnsi="Sylfaen"/>
          <w:lang w:val="ka-GE"/>
        </w:rPr>
        <w:t>კერძოდ, მე-9 და 27-ე მუხლების</w:t>
      </w:r>
      <w:r w:rsidR="000A2962" w:rsidRPr="00FE223D">
        <w:rPr>
          <w:rFonts w:ascii="Sylfaen" w:hAnsi="Sylfaen"/>
          <w:lang w:val="ka-GE"/>
        </w:rPr>
        <w:t>)</w:t>
      </w:r>
      <w:r w:rsidR="00427835" w:rsidRPr="00FE223D">
        <w:rPr>
          <w:rFonts w:ascii="Sylfaen" w:hAnsi="Sylfaen"/>
          <w:lang w:val="ka-GE"/>
        </w:rPr>
        <w:t xml:space="preserve"> შესაბამისად.</w:t>
      </w:r>
    </w:p>
    <w:p w14:paraId="62EDDA6E" w14:textId="66DB620F" w:rsidR="00427835" w:rsidRPr="00FE223D" w:rsidRDefault="00F0037F" w:rsidP="00D568BC">
      <w:pPr>
        <w:pStyle w:val="SingleTxtG"/>
        <w:rPr>
          <w:rFonts w:ascii="Sylfaen" w:hAnsi="Sylfaen"/>
          <w:lang w:val="ka-GE"/>
        </w:rPr>
      </w:pPr>
      <w:r w:rsidRPr="00FE223D">
        <w:rPr>
          <w:rFonts w:ascii="Sylfaen" w:hAnsi="Sylfaen"/>
        </w:rPr>
        <w:t>10.</w:t>
      </w:r>
      <w:r w:rsidRPr="00FE223D">
        <w:rPr>
          <w:rFonts w:ascii="Sylfaen" w:hAnsi="Sylfaen"/>
        </w:rPr>
        <w:tab/>
      </w:r>
      <w:r w:rsidR="00427835" w:rsidRPr="00FE223D">
        <w:rPr>
          <w:rFonts w:ascii="Sylfaen" w:hAnsi="Sylfaen"/>
          <w:lang w:val="ka-GE"/>
        </w:rPr>
        <w:t xml:space="preserve">ფაკულტატური ოქმის მე-5 მუხლისა და კომიტეტის რეგლამენტის 75-ე წესის შესაბამისად, სახელმწიფო მხარემ კომიტეტს ექვსი თვის ვადაში უნდა წარუდგინოს წერილობითი პასუხი, </w:t>
      </w:r>
      <w:r w:rsidR="00C4140B" w:rsidRPr="00FE223D">
        <w:rPr>
          <w:rFonts w:ascii="Sylfaen" w:hAnsi="Sylfaen"/>
          <w:lang w:val="ka-GE"/>
        </w:rPr>
        <w:t xml:space="preserve">რომელშიც იქნება ინფორმაცია ნებისმიერ აქტივობაზე, რაც სახელმწიფომ ამ დოკუმენტისა და კომიტეტის რეკომენდაციების გათვალისწინებით გააკეთა. </w:t>
      </w:r>
    </w:p>
    <w:p w14:paraId="41EDF5FB" w14:textId="77777777" w:rsidR="00F0037F" w:rsidRPr="00C4140B" w:rsidRDefault="00D568BC" w:rsidP="00D568BC">
      <w:pPr>
        <w:pStyle w:val="SingleTxtG"/>
        <w:spacing w:before="240" w:after="0"/>
        <w:jc w:val="center"/>
        <w:rPr>
          <w:rFonts w:ascii="Sylfaen" w:hAnsi="Sylfaen"/>
          <w:u w:val="single"/>
        </w:rPr>
      </w:pPr>
      <w:r w:rsidRPr="00C4140B">
        <w:rPr>
          <w:rFonts w:ascii="Sylfaen" w:hAnsi="Sylfaen"/>
          <w:u w:val="single"/>
        </w:rPr>
        <w:tab/>
      </w:r>
      <w:r w:rsidRPr="00C4140B">
        <w:rPr>
          <w:rFonts w:ascii="Sylfaen" w:hAnsi="Sylfaen"/>
          <w:u w:val="single"/>
        </w:rPr>
        <w:tab/>
      </w:r>
      <w:r w:rsidRPr="00C4140B">
        <w:rPr>
          <w:rFonts w:ascii="Sylfaen" w:hAnsi="Sylfaen"/>
          <w:u w:val="single"/>
        </w:rPr>
        <w:tab/>
      </w:r>
      <w:r w:rsidRPr="00C4140B">
        <w:rPr>
          <w:rFonts w:ascii="Sylfaen" w:hAnsi="Sylfaen"/>
          <w:u w:val="single"/>
        </w:rPr>
        <w:tab/>
      </w:r>
    </w:p>
    <w:sectPr w:rsidR="00F0037F" w:rsidRPr="00C4140B" w:rsidSect="001C09B7">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CF40" w14:textId="77777777" w:rsidR="00270E49" w:rsidRDefault="00270E49"/>
  </w:endnote>
  <w:endnote w:type="continuationSeparator" w:id="0">
    <w:p w14:paraId="4C973A8A" w14:textId="77777777" w:rsidR="00270E49" w:rsidRDefault="00270E49"/>
  </w:endnote>
  <w:endnote w:type="continuationNotice" w:id="1">
    <w:p w14:paraId="01D2D649" w14:textId="77777777" w:rsidR="00270E49" w:rsidRDefault="00270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D680" w14:textId="112D16E8" w:rsidR="00537E66" w:rsidRPr="00506A38" w:rsidRDefault="00537E66" w:rsidP="00CE317B">
    <w:pPr>
      <w:pStyle w:val="Footer"/>
      <w:tabs>
        <w:tab w:val="right" w:pos="9598"/>
      </w:tabs>
      <w:rPr>
        <w:rFonts w:ascii="Sylfaen" w:hAnsi="Sylfaen"/>
      </w:rPr>
    </w:pPr>
    <w:r w:rsidRPr="00506A38">
      <w:rPr>
        <w:rFonts w:ascii="Sylfaen" w:hAnsi="Sylfaen"/>
        <w:b/>
        <w:sz w:val="18"/>
      </w:rPr>
      <w:fldChar w:fldCharType="begin"/>
    </w:r>
    <w:r w:rsidRPr="00506A38">
      <w:rPr>
        <w:rFonts w:ascii="Sylfaen" w:hAnsi="Sylfaen"/>
        <w:b/>
        <w:sz w:val="18"/>
      </w:rPr>
      <w:instrText xml:space="preserve"> PAGE  \* MERGEFORMAT </w:instrText>
    </w:r>
    <w:r w:rsidRPr="00506A38">
      <w:rPr>
        <w:rFonts w:ascii="Sylfaen" w:hAnsi="Sylfaen"/>
        <w:b/>
        <w:sz w:val="18"/>
      </w:rPr>
      <w:fldChar w:fldCharType="separate"/>
    </w:r>
    <w:r w:rsidR="005B5310" w:rsidRPr="00506A38">
      <w:rPr>
        <w:rFonts w:ascii="Sylfaen" w:hAnsi="Sylfaen"/>
        <w:b/>
        <w:noProof/>
        <w:sz w:val="18"/>
      </w:rPr>
      <w:t>16</w:t>
    </w:r>
    <w:r w:rsidRPr="00506A38">
      <w:rPr>
        <w:rFonts w:ascii="Sylfaen" w:hAnsi="Sylfaen"/>
        <w:b/>
        <w:sz w:val="18"/>
      </w:rPr>
      <w:fldChar w:fldCharType="end"/>
    </w:r>
    <w:r w:rsidRPr="00506A38">
      <w:rPr>
        <w:rFonts w:ascii="Sylfaen" w:hAnsi="Sylfaen"/>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1F52" w14:textId="0AE99424" w:rsidR="00537E66" w:rsidRPr="00CE317B" w:rsidRDefault="00537E66" w:rsidP="00CE317B">
    <w:pPr>
      <w:pStyle w:val="Footer"/>
      <w:tabs>
        <w:tab w:val="right" w:pos="9598"/>
      </w:tabs>
      <w:rPr>
        <w:b/>
        <w:sz w:val="18"/>
      </w:rPr>
    </w:pPr>
    <w:r>
      <w:tab/>
    </w:r>
    <w:r w:rsidRPr="00CE317B">
      <w:rPr>
        <w:b/>
        <w:sz w:val="18"/>
      </w:rPr>
      <w:fldChar w:fldCharType="begin"/>
    </w:r>
    <w:r w:rsidRPr="00CE317B">
      <w:rPr>
        <w:b/>
        <w:sz w:val="18"/>
      </w:rPr>
      <w:instrText xml:space="preserve"> PAGE  \* MERGEFORMAT </w:instrText>
    </w:r>
    <w:r w:rsidRPr="00CE317B">
      <w:rPr>
        <w:b/>
        <w:sz w:val="18"/>
      </w:rPr>
      <w:fldChar w:fldCharType="separate"/>
    </w:r>
    <w:r w:rsidR="005B5310">
      <w:rPr>
        <w:b/>
        <w:noProof/>
        <w:sz w:val="18"/>
      </w:rPr>
      <w:t>15</w:t>
    </w:r>
    <w:r w:rsidRPr="00CE31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12C8" w14:textId="77777777" w:rsidR="00B736B4" w:rsidRDefault="00B736B4" w:rsidP="00B736B4">
    <w:pPr>
      <w:pStyle w:val="Footer"/>
    </w:pPr>
    <w:r>
      <w:rPr>
        <w:noProof/>
        <w:lang w:eastAsia="en-GB"/>
      </w:rPr>
      <w:drawing>
        <wp:anchor distT="0" distB="0" distL="114300" distR="114300" simplePos="0" relativeHeight="251659264" behindDoc="1" locked="1" layoutInCell="1" allowOverlap="1" wp14:anchorId="027CC7BB" wp14:editId="080702B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3716E08" w14:textId="77777777" w:rsidR="00B736B4" w:rsidRDefault="00B736B4" w:rsidP="00B736B4">
    <w:pPr>
      <w:pStyle w:val="Footer"/>
      <w:ind w:right="1134"/>
      <w:rPr>
        <w:sz w:val="20"/>
      </w:rPr>
    </w:pPr>
    <w:r>
      <w:rPr>
        <w:sz w:val="20"/>
      </w:rPr>
      <w:t>GE.20-00788(E)</w:t>
    </w:r>
  </w:p>
  <w:p w14:paraId="2196E78C" w14:textId="77777777" w:rsidR="00B736B4" w:rsidRPr="00B736B4" w:rsidRDefault="00B736B4" w:rsidP="00B736B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0FFEE4CC" wp14:editId="409C1BD3">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23/DR/45/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3/DR/45/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A303" w14:textId="77777777" w:rsidR="00270E49" w:rsidRDefault="00270E49">
      <w:pPr>
        <w:tabs>
          <w:tab w:val="right" w:pos="2155"/>
        </w:tabs>
        <w:spacing w:after="80"/>
        <w:ind w:left="680"/>
        <w:rPr>
          <w:u w:val="single"/>
        </w:rPr>
      </w:pPr>
      <w:r>
        <w:rPr>
          <w:u w:val="single"/>
        </w:rPr>
        <w:tab/>
      </w:r>
    </w:p>
  </w:footnote>
  <w:footnote w:type="continuationSeparator" w:id="0">
    <w:p w14:paraId="4A8664FB" w14:textId="77777777" w:rsidR="00270E49" w:rsidRDefault="00270E49">
      <w:pPr>
        <w:tabs>
          <w:tab w:val="left" w:pos="2155"/>
        </w:tabs>
        <w:spacing w:after="80"/>
        <w:ind w:left="680"/>
        <w:rPr>
          <w:u w:val="single"/>
        </w:rPr>
      </w:pPr>
      <w:r>
        <w:rPr>
          <w:u w:val="single"/>
        </w:rPr>
        <w:tab/>
      </w:r>
    </w:p>
  </w:footnote>
  <w:footnote w:type="continuationNotice" w:id="1">
    <w:p w14:paraId="50518344" w14:textId="77777777" w:rsidR="00270E49" w:rsidRDefault="00270E49"/>
  </w:footnote>
  <w:footnote w:id="2">
    <w:p w14:paraId="32AA5927" w14:textId="0C2AD796" w:rsidR="0023157B" w:rsidRDefault="0023157B" w:rsidP="0023157B">
      <w:pPr>
        <w:pStyle w:val="FootnoteText"/>
      </w:pPr>
      <w:r>
        <w:rPr>
          <w:rStyle w:val="FootnoteReference"/>
        </w:rPr>
        <w:tab/>
      </w:r>
      <w:r>
        <w:rPr>
          <w:rStyle w:val="FootnoteReference"/>
          <w:sz w:val="20"/>
        </w:rPr>
        <w:t>*</w:t>
      </w:r>
      <w:r>
        <w:rPr>
          <w:rStyle w:val="FootnoteReference"/>
          <w:sz w:val="20"/>
        </w:rPr>
        <w:tab/>
      </w:r>
      <w:r w:rsidR="00913B5B" w:rsidRPr="003C0C75">
        <w:rPr>
          <w:rFonts w:ascii="Sylfaen" w:hAnsi="Sylfaen"/>
          <w:szCs w:val="18"/>
          <w:lang w:val="ka-GE"/>
        </w:rPr>
        <w:t xml:space="preserve">კომიტეტმა მიიღო </w:t>
      </w:r>
      <w:r w:rsidR="003C0C75" w:rsidRPr="003C0C75">
        <w:rPr>
          <w:rFonts w:ascii="Sylfaen" w:hAnsi="Sylfaen"/>
          <w:szCs w:val="18"/>
          <w:lang w:val="ka-GE"/>
        </w:rPr>
        <w:t xml:space="preserve">23-ე </w:t>
      </w:r>
      <w:r w:rsidR="00913B5B" w:rsidRPr="003C0C75">
        <w:rPr>
          <w:rFonts w:ascii="Sylfaen" w:hAnsi="Sylfaen"/>
          <w:szCs w:val="18"/>
          <w:lang w:val="ka-GE"/>
        </w:rPr>
        <w:t>სესიაზე (</w:t>
      </w:r>
      <w:r w:rsidR="00D82FD3" w:rsidRPr="003C0C75">
        <w:rPr>
          <w:szCs w:val="18"/>
        </w:rPr>
        <w:t xml:space="preserve">17 </w:t>
      </w:r>
      <w:r w:rsidR="00913B5B" w:rsidRPr="003C0C75">
        <w:rPr>
          <w:rFonts w:ascii="Sylfaen" w:hAnsi="Sylfaen"/>
          <w:szCs w:val="18"/>
          <w:lang w:val="ka-GE"/>
        </w:rPr>
        <w:t xml:space="preserve">აგვისტო - </w:t>
      </w:r>
      <w:r w:rsidR="00D82FD3" w:rsidRPr="003C0C75">
        <w:rPr>
          <w:szCs w:val="18"/>
        </w:rPr>
        <w:t xml:space="preserve">4 </w:t>
      </w:r>
      <w:r w:rsidR="003C0C75" w:rsidRPr="003C0C75">
        <w:rPr>
          <w:rFonts w:ascii="Sylfaen" w:hAnsi="Sylfaen"/>
          <w:szCs w:val="18"/>
          <w:lang w:val="ka-GE"/>
        </w:rPr>
        <w:t>სექტემბერი</w:t>
      </w:r>
      <w:r w:rsidRPr="003C0C75">
        <w:rPr>
          <w:szCs w:val="18"/>
        </w:rPr>
        <w:t>).</w:t>
      </w:r>
    </w:p>
  </w:footnote>
  <w:footnote w:id="3">
    <w:p w14:paraId="2E39E85D" w14:textId="77777777" w:rsidR="00E45D22" w:rsidRPr="00506A38" w:rsidRDefault="00E45D22" w:rsidP="00E45D22">
      <w:pPr>
        <w:pStyle w:val="FootnoteText"/>
        <w:rPr>
          <w:rFonts w:ascii="Sylfaen" w:hAnsi="Sylfaen"/>
        </w:rPr>
      </w:pPr>
      <w:r>
        <w:tab/>
      </w:r>
      <w:r w:rsidRPr="00506A38">
        <w:rPr>
          <w:rStyle w:val="FootnoteReference"/>
          <w:rFonts w:ascii="Sylfaen" w:hAnsi="Sylfaen"/>
        </w:rPr>
        <w:footnoteRef/>
      </w:r>
      <w:r w:rsidRPr="00506A38">
        <w:rPr>
          <w:rFonts w:ascii="Sylfaen" w:hAnsi="Sylfaen"/>
        </w:rPr>
        <w:tab/>
      </w:r>
      <w:r w:rsidRPr="00506A38">
        <w:rPr>
          <w:rFonts w:ascii="Sylfaen" w:hAnsi="Sylfaen"/>
          <w:lang w:val="ka-GE"/>
        </w:rPr>
        <w:t>დაახლოებით,</w:t>
      </w:r>
      <w:r w:rsidRPr="00506A38">
        <w:rPr>
          <w:rFonts w:ascii="Sylfaen" w:hAnsi="Sylfaen"/>
        </w:rPr>
        <w:t xml:space="preserve"> 66 000</w:t>
      </w:r>
      <w:r w:rsidRPr="00506A38">
        <w:rPr>
          <w:rFonts w:ascii="Sylfaen" w:hAnsi="Sylfaen"/>
          <w:lang w:val="ka-GE"/>
        </w:rPr>
        <w:t xml:space="preserve"> ამერიკული დოლარი</w:t>
      </w:r>
      <w:r w:rsidRPr="00506A38">
        <w:rPr>
          <w:rFonts w:ascii="Sylfaen" w:hAnsi="Sylfaen"/>
        </w:rPr>
        <w:t xml:space="preserve"> </w:t>
      </w:r>
      <w:r w:rsidRPr="00506A38">
        <w:rPr>
          <w:rFonts w:ascii="Sylfaen" w:hAnsi="Sylfaen"/>
          <w:lang w:val="ka-GE"/>
        </w:rPr>
        <w:t>(</w:t>
      </w:r>
      <w:r w:rsidRPr="00506A38">
        <w:rPr>
          <w:rFonts w:ascii="Sylfaen" w:hAnsi="Sylfaen"/>
        </w:rPr>
        <w:t>USD</w:t>
      </w:r>
      <w:r w:rsidRPr="00506A38">
        <w:rPr>
          <w:rFonts w:ascii="Sylfaen" w:hAnsi="Sylfaen"/>
          <w:lang w:val="ka-GE"/>
        </w:rPr>
        <w:t>)</w:t>
      </w:r>
      <w:r w:rsidRPr="00506A38">
        <w:rPr>
          <w:rFonts w:ascii="Sylfaen" w:hAnsi="Sylfaen"/>
        </w:rPr>
        <w:t>.</w:t>
      </w:r>
    </w:p>
  </w:footnote>
  <w:footnote w:id="4">
    <w:p w14:paraId="12FF8C16" w14:textId="46D89D61" w:rsidR="00AA2E4E" w:rsidRPr="00506A38" w:rsidRDefault="00AA2E4E" w:rsidP="00AA2E4E">
      <w:pPr>
        <w:pStyle w:val="FootnoteText"/>
        <w:rPr>
          <w:rFonts w:ascii="Sylfaen" w:hAnsi="Sylfaen"/>
        </w:rPr>
      </w:pPr>
      <w:r w:rsidRPr="00506A38">
        <w:rPr>
          <w:rFonts w:ascii="Sylfaen" w:hAnsi="Sylfaen"/>
        </w:rPr>
        <w:tab/>
      </w:r>
      <w:r w:rsidRPr="00506A38">
        <w:rPr>
          <w:rStyle w:val="FootnoteReference"/>
          <w:rFonts w:ascii="Sylfaen" w:hAnsi="Sylfaen"/>
        </w:rPr>
        <w:footnoteRef/>
      </w:r>
      <w:r w:rsidRPr="00506A38">
        <w:rPr>
          <w:rFonts w:ascii="Sylfaen" w:hAnsi="Sylfaen"/>
        </w:rPr>
        <w:tab/>
      </w:r>
      <w:r w:rsidRPr="00506A38">
        <w:rPr>
          <w:rFonts w:ascii="Sylfaen" w:hAnsi="Sylfaen"/>
          <w:lang w:val="ka-GE"/>
        </w:rPr>
        <w:t>დაახლოებით,</w:t>
      </w:r>
      <w:r w:rsidRPr="00506A38">
        <w:rPr>
          <w:rFonts w:ascii="Sylfaen" w:hAnsi="Sylfaen"/>
        </w:rPr>
        <w:t xml:space="preserve"> 19</w:t>
      </w:r>
      <w:r w:rsidR="00814522">
        <w:rPr>
          <w:rFonts w:ascii="Sylfaen" w:hAnsi="Sylfaen"/>
          <w:lang w:val="ka-GE"/>
        </w:rPr>
        <w:t xml:space="preserve"> </w:t>
      </w:r>
      <w:r w:rsidRPr="00506A38">
        <w:rPr>
          <w:rFonts w:ascii="Sylfaen" w:hAnsi="Sylfaen"/>
        </w:rPr>
        <w:t>998</w:t>
      </w:r>
      <w:r w:rsidR="00814522">
        <w:rPr>
          <w:rFonts w:ascii="Sylfaen" w:hAnsi="Sylfaen"/>
          <w:lang w:val="ka-GE"/>
        </w:rPr>
        <w:t xml:space="preserve"> </w:t>
      </w:r>
      <w:r w:rsidRPr="00506A38">
        <w:rPr>
          <w:rFonts w:ascii="Sylfaen" w:hAnsi="Sylfaen"/>
        </w:rPr>
        <w:t>284</w:t>
      </w:r>
      <w:r w:rsidR="00814522">
        <w:rPr>
          <w:rFonts w:ascii="Sylfaen" w:hAnsi="Sylfaen"/>
          <w:lang w:val="ka-GE"/>
        </w:rPr>
        <w:t>,</w:t>
      </w:r>
      <w:r w:rsidRPr="00506A38">
        <w:rPr>
          <w:rFonts w:ascii="Sylfaen" w:hAnsi="Sylfaen"/>
        </w:rPr>
        <w:t xml:space="preserve">90 </w:t>
      </w:r>
      <w:r w:rsidRPr="00506A38">
        <w:rPr>
          <w:rFonts w:ascii="Sylfaen" w:hAnsi="Sylfaen"/>
          <w:lang w:val="ka-GE"/>
        </w:rPr>
        <w:t>ამერიკული დოლარი (</w:t>
      </w:r>
      <w:r w:rsidRPr="00506A38">
        <w:rPr>
          <w:rFonts w:ascii="Sylfaen" w:hAnsi="Sylfaen"/>
        </w:rPr>
        <w:t>USD</w:t>
      </w:r>
      <w:r w:rsidRPr="00506A38">
        <w:rPr>
          <w:rFonts w:ascii="Sylfaen" w:hAnsi="Sylfaen"/>
          <w:lang w:val="ka-GE"/>
        </w:rPr>
        <w:t>)</w:t>
      </w:r>
      <w:r w:rsidRPr="00506A38">
        <w:rPr>
          <w:rFonts w:ascii="Sylfaen" w:hAnsi="Sylfaen"/>
        </w:rPr>
        <w:t>.</w:t>
      </w:r>
    </w:p>
  </w:footnote>
  <w:footnote w:id="5">
    <w:p w14:paraId="0260309C" w14:textId="60F04533" w:rsidR="00EF4BA3" w:rsidRPr="00B838DE" w:rsidRDefault="00EF4BA3" w:rsidP="00EF4BA3">
      <w:pPr>
        <w:pStyle w:val="FootnoteText"/>
        <w:rPr>
          <w:rFonts w:ascii="Sylfaen" w:hAnsi="Sylfaen"/>
        </w:rPr>
      </w:pPr>
      <w:r w:rsidRPr="00506A38">
        <w:rPr>
          <w:rFonts w:ascii="Sylfaen" w:hAnsi="Sylfaen"/>
        </w:rPr>
        <w:tab/>
      </w:r>
      <w:r w:rsidRPr="00B838DE">
        <w:rPr>
          <w:rStyle w:val="FootnoteReference"/>
          <w:rFonts w:ascii="Sylfaen" w:hAnsi="Sylfaen"/>
        </w:rPr>
        <w:footnoteRef/>
      </w:r>
      <w:r w:rsidRPr="00B838DE">
        <w:rPr>
          <w:rFonts w:ascii="Sylfaen" w:hAnsi="Sylfaen"/>
        </w:rPr>
        <w:tab/>
      </w:r>
      <w:r w:rsidRPr="00B838DE">
        <w:rPr>
          <w:rFonts w:ascii="Sylfaen" w:hAnsi="Sylfaen"/>
          <w:lang w:val="ka-GE"/>
        </w:rPr>
        <w:t>დაახლოებით,</w:t>
      </w:r>
      <w:r w:rsidRPr="00B838DE">
        <w:rPr>
          <w:rFonts w:ascii="Sylfaen" w:hAnsi="Sylfaen"/>
        </w:rPr>
        <w:t xml:space="preserve"> 10</w:t>
      </w:r>
      <w:r w:rsidR="00814522">
        <w:rPr>
          <w:rFonts w:ascii="Sylfaen" w:hAnsi="Sylfaen"/>
          <w:lang w:val="ka-GE"/>
        </w:rPr>
        <w:t xml:space="preserve"> </w:t>
      </w:r>
      <w:r w:rsidRPr="00B838DE">
        <w:rPr>
          <w:rFonts w:ascii="Sylfaen" w:hAnsi="Sylfaen"/>
        </w:rPr>
        <w:t>694</w:t>
      </w:r>
      <w:r w:rsidR="00814522">
        <w:rPr>
          <w:rFonts w:ascii="Sylfaen" w:hAnsi="Sylfaen"/>
          <w:lang w:val="ka-GE"/>
        </w:rPr>
        <w:t>,</w:t>
      </w:r>
      <w:r w:rsidRPr="00B838DE">
        <w:rPr>
          <w:rFonts w:ascii="Sylfaen" w:hAnsi="Sylfaen"/>
        </w:rPr>
        <w:t xml:space="preserve">27 </w:t>
      </w:r>
      <w:r w:rsidRPr="00B838DE">
        <w:rPr>
          <w:rFonts w:ascii="Sylfaen" w:hAnsi="Sylfaen"/>
          <w:lang w:val="ka-GE"/>
        </w:rPr>
        <w:t>ამერიკული დოლარი (</w:t>
      </w:r>
      <w:r w:rsidRPr="00B838DE">
        <w:rPr>
          <w:rFonts w:ascii="Sylfaen" w:hAnsi="Sylfaen"/>
        </w:rPr>
        <w:t>USD</w:t>
      </w:r>
      <w:r w:rsidRPr="00B838DE">
        <w:rPr>
          <w:rFonts w:ascii="Sylfaen" w:hAnsi="Sylfaen"/>
          <w:lang w:val="ka-GE"/>
        </w:rPr>
        <w:t>)</w:t>
      </w:r>
      <w:r w:rsidRPr="00B838DE">
        <w:rPr>
          <w:rFonts w:ascii="Sylfaen" w:hAnsi="Sylfaen"/>
        </w:rPr>
        <w:t>.</w:t>
      </w:r>
    </w:p>
  </w:footnote>
  <w:footnote w:id="6">
    <w:p w14:paraId="5A455C38" w14:textId="00896B89" w:rsidR="00392CFC" w:rsidRPr="00B838DE" w:rsidRDefault="00392CFC" w:rsidP="00B838DE">
      <w:pPr>
        <w:pStyle w:val="FootnoteText"/>
        <w:rPr>
          <w:rFonts w:ascii="Sylfaen" w:hAnsi="Sylfaen"/>
          <w:lang w:val="ka-GE"/>
        </w:rPr>
      </w:pPr>
      <w:r w:rsidRPr="00B838DE">
        <w:rPr>
          <w:rFonts w:ascii="Sylfaen" w:hAnsi="Sylfaen"/>
        </w:rPr>
        <w:tab/>
      </w:r>
      <w:r w:rsidRPr="00B838DE">
        <w:rPr>
          <w:rStyle w:val="FootnoteReference"/>
          <w:rFonts w:ascii="Sylfaen" w:hAnsi="Sylfaen"/>
        </w:rPr>
        <w:footnoteRef/>
      </w:r>
      <w:r w:rsidRPr="00B838DE">
        <w:rPr>
          <w:rFonts w:ascii="Sylfaen" w:hAnsi="Sylfaen"/>
        </w:rPr>
        <w:tab/>
      </w:r>
      <w:r w:rsidR="00A91940" w:rsidRPr="00B838DE">
        <w:rPr>
          <w:rFonts w:ascii="Sylfaen" w:hAnsi="Sylfaen"/>
          <w:lang w:val="ka-GE"/>
        </w:rPr>
        <w:t>ავტორი გულისხმობ</w:t>
      </w:r>
      <w:r w:rsidR="00B838DE" w:rsidRPr="00B838DE">
        <w:rPr>
          <w:rFonts w:ascii="Sylfaen" w:hAnsi="Sylfaen"/>
          <w:lang w:val="ka-GE"/>
        </w:rPr>
        <w:t>ს</w:t>
      </w:r>
      <w:r w:rsidR="00A91940" w:rsidRPr="00B838DE">
        <w:rPr>
          <w:rFonts w:ascii="Sylfaen" w:hAnsi="Sylfaen"/>
          <w:lang w:val="ka-GE"/>
        </w:rPr>
        <w:t xml:space="preserve"> 187 მილიონის</w:t>
      </w:r>
      <w:r w:rsidR="00B838DE" w:rsidRPr="00B838DE">
        <w:rPr>
          <w:rFonts w:ascii="Sylfaen" w:hAnsi="Sylfaen"/>
          <w:lang w:val="ka-GE"/>
        </w:rPr>
        <w:t xml:space="preserve"> შვედური კრონ</w:t>
      </w:r>
      <w:r w:rsidR="001152CA">
        <w:rPr>
          <w:rFonts w:ascii="Sylfaen" w:hAnsi="Sylfaen"/>
          <w:lang w:val="ka-GE"/>
        </w:rPr>
        <w:t>ა</w:t>
      </w:r>
      <w:r w:rsidR="00B838DE" w:rsidRPr="00B838DE">
        <w:rPr>
          <w:rFonts w:ascii="Sylfaen" w:hAnsi="Sylfaen"/>
          <w:lang w:val="ka-GE"/>
        </w:rPr>
        <w:t>ს (</w:t>
      </w:r>
      <w:r w:rsidR="00B838DE" w:rsidRPr="00B838DE">
        <w:rPr>
          <w:rFonts w:ascii="Sylfaen" w:hAnsi="Sylfaen"/>
          <w:lang w:val="en-US"/>
        </w:rPr>
        <w:t xml:space="preserve">SEK) </w:t>
      </w:r>
      <w:r w:rsidR="00B838DE" w:rsidRPr="00B838DE">
        <w:rPr>
          <w:rFonts w:ascii="Sylfaen" w:hAnsi="Sylfaen"/>
          <w:lang w:val="ka-GE"/>
        </w:rPr>
        <w:t>ღირებულების</w:t>
      </w:r>
      <w:r w:rsidR="00A91940" w:rsidRPr="00B838DE">
        <w:rPr>
          <w:rFonts w:ascii="Sylfaen" w:hAnsi="Sylfaen"/>
          <w:lang w:val="ka-GE"/>
        </w:rPr>
        <w:t xml:space="preserve"> </w:t>
      </w:r>
      <w:r w:rsidR="00B838DE" w:rsidRPr="00B838DE">
        <w:rPr>
          <w:rFonts w:ascii="Sylfaen" w:hAnsi="Sylfaen"/>
          <w:lang w:val="ka-GE"/>
        </w:rPr>
        <w:t xml:space="preserve">უნივერსიტეტის ბიუჯეტის ნამატს და უთითებს ბმულს სახელმწიფო მხარის ანგარიშის სანახავად 2016 წლის ბიუჯეტის შესახებ </w:t>
      </w:r>
      <w:r w:rsidRPr="00B838DE">
        <w:rPr>
          <w:rFonts w:ascii="Sylfaen" w:hAnsi="Sylfaen"/>
        </w:rPr>
        <w:t>(</w:t>
      </w:r>
      <w:r w:rsidR="00B838DE" w:rsidRPr="00B838DE">
        <w:rPr>
          <w:rFonts w:ascii="Sylfaen" w:hAnsi="Sylfaen"/>
          <w:lang w:val="ka-GE"/>
        </w:rPr>
        <w:t>იხ.</w:t>
      </w:r>
      <w:r w:rsidRPr="00B838DE">
        <w:rPr>
          <w:rFonts w:ascii="Sylfaen" w:hAnsi="Sylfaen"/>
        </w:rPr>
        <w:t xml:space="preserve"> </w:t>
      </w:r>
      <w:hyperlink r:id="rId1" w:history="1">
        <w:r w:rsidR="00B838DE" w:rsidRPr="00B838DE">
          <w:rPr>
            <w:rStyle w:val="Hyperlink"/>
            <w:rFonts w:ascii="Sylfaen" w:hAnsi="Sylfaen"/>
          </w:rPr>
          <w:t>http://www.regeringen.se/sveriges-regering/finansdepartementet/statens-budget/statens-budget-i-siffror/</w:t>
        </w:r>
      </w:hyperlink>
      <w:r w:rsidRPr="00B838DE">
        <w:rPr>
          <w:rFonts w:ascii="Sylfaen" w:hAnsi="Sylfaen"/>
        </w:rPr>
        <w:t>).</w:t>
      </w:r>
    </w:p>
  </w:footnote>
  <w:footnote w:id="7">
    <w:p w14:paraId="1E3809CF" w14:textId="6AD3993A" w:rsidR="00482AF8" w:rsidRPr="005E4458" w:rsidRDefault="00482AF8" w:rsidP="00482AF8">
      <w:pPr>
        <w:pStyle w:val="FootnoteText"/>
        <w:rPr>
          <w:rFonts w:ascii="Sylfaen" w:hAnsi="Sylfaen"/>
        </w:rPr>
      </w:pPr>
      <w:r w:rsidRPr="000F3911">
        <w:tab/>
      </w:r>
      <w:r w:rsidRPr="005E4458">
        <w:rPr>
          <w:rStyle w:val="FootnoteReference"/>
          <w:rFonts w:ascii="Sylfaen" w:hAnsi="Sylfaen"/>
        </w:rPr>
        <w:footnoteRef/>
      </w:r>
      <w:r w:rsidRPr="005E4458">
        <w:rPr>
          <w:rFonts w:ascii="Sylfaen" w:hAnsi="Sylfaen"/>
        </w:rPr>
        <w:tab/>
      </w:r>
      <w:r w:rsidR="005E4458" w:rsidRPr="005E4458">
        <w:rPr>
          <w:rFonts w:ascii="Sylfaen" w:hAnsi="Sylfaen"/>
          <w:lang w:val="ka-GE"/>
        </w:rPr>
        <w:t>დაახლოებით,</w:t>
      </w:r>
      <w:r w:rsidRPr="005E4458">
        <w:rPr>
          <w:rFonts w:ascii="Sylfaen" w:hAnsi="Sylfaen"/>
        </w:rPr>
        <w:t xml:space="preserve"> 10</w:t>
      </w:r>
      <w:r w:rsidR="005C5A1D">
        <w:rPr>
          <w:rFonts w:ascii="Sylfaen" w:hAnsi="Sylfaen"/>
          <w:lang w:val="ka-GE"/>
        </w:rPr>
        <w:t xml:space="preserve"> </w:t>
      </w:r>
      <w:r w:rsidRPr="005E4458">
        <w:rPr>
          <w:rFonts w:ascii="Sylfaen" w:hAnsi="Sylfaen"/>
        </w:rPr>
        <w:t>694</w:t>
      </w:r>
      <w:r w:rsidR="005C5A1D">
        <w:rPr>
          <w:rFonts w:ascii="Sylfaen" w:hAnsi="Sylfaen"/>
          <w:lang w:val="ka-GE"/>
        </w:rPr>
        <w:t>,</w:t>
      </w:r>
      <w:r w:rsidRPr="005E4458">
        <w:rPr>
          <w:rFonts w:ascii="Sylfaen" w:hAnsi="Sylfaen"/>
        </w:rPr>
        <w:t>27</w:t>
      </w:r>
      <w:r w:rsidR="005E4458" w:rsidRPr="005E4458">
        <w:rPr>
          <w:rFonts w:ascii="Sylfaen" w:hAnsi="Sylfaen"/>
          <w:lang w:val="ka-GE"/>
        </w:rPr>
        <w:t xml:space="preserve"> ამერიკული დოლარი</w:t>
      </w:r>
      <w:r w:rsidRPr="005E4458">
        <w:rPr>
          <w:rFonts w:ascii="Sylfaen" w:hAnsi="Sylfaen"/>
        </w:rPr>
        <w:t xml:space="preserve"> </w:t>
      </w:r>
      <w:r w:rsidR="005E4458" w:rsidRPr="005E4458">
        <w:rPr>
          <w:rFonts w:ascii="Sylfaen" w:hAnsi="Sylfaen"/>
          <w:lang w:val="ka-GE"/>
        </w:rPr>
        <w:t>(</w:t>
      </w:r>
      <w:r w:rsidRPr="005E4458">
        <w:rPr>
          <w:rFonts w:ascii="Sylfaen" w:hAnsi="Sylfaen"/>
        </w:rPr>
        <w:t>USD</w:t>
      </w:r>
      <w:r w:rsidR="005E4458" w:rsidRPr="005E4458">
        <w:rPr>
          <w:rFonts w:ascii="Sylfaen" w:hAnsi="Sylfaen"/>
          <w:lang w:val="ka-GE"/>
        </w:rPr>
        <w:t>)</w:t>
      </w:r>
      <w:r w:rsidRPr="005E4458">
        <w:rPr>
          <w:rFonts w:ascii="Sylfaen" w:hAnsi="Sylfaen"/>
        </w:rPr>
        <w:t>.</w:t>
      </w:r>
    </w:p>
  </w:footnote>
  <w:footnote w:id="8">
    <w:p w14:paraId="044BC1D9" w14:textId="77777777" w:rsidR="00C25929" w:rsidRPr="000F3911" w:rsidRDefault="00C25929" w:rsidP="00C25929">
      <w:pPr>
        <w:pStyle w:val="FootnoteText"/>
      </w:pPr>
      <w:r w:rsidRPr="000F3911">
        <w:tab/>
      </w:r>
      <w:r w:rsidRPr="000F3911">
        <w:rPr>
          <w:rStyle w:val="FootnoteReference"/>
        </w:rPr>
        <w:footnoteRef/>
      </w:r>
      <w:r w:rsidRPr="000F3911">
        <w:tab/>
        <w:t>Diskrimineringslagen, 2008:567</w:t>
      </w:r>
      <w:r>
        <w:t>.</w:t>
      </w:r>
    </w:p>
  </w:footnote>
  <w:footnote w:id="9">
    <w:p w14:paraId="781A3E26" w14:textId="75073EB6" w:rsidR="001E7EE1" w:rsidRPr="00C1588A" w:rsidRDefault="001E7EE1" w:rsidP="00C1588A">
      <w:pPr>
        <w:pStyle w:val="FootnoteText"/>
        <w:rPr>
          <w:rFonts w:ascii="Sylfaen" w:hAnsi="Sylfaen"/>
          <w:lang w:val="ka-GE"/>
        </w:rPr>
      </w:pPr>
      <w:r w:rsidRPr="00C1588A">
        <w:rPr>
          <w:rFonts w:ascii="Sylfaen" w:hAnsi="Sylfaen"/>
        </w:rPr>
        <w:tab/>
      </w:r>
      <w:r w:rsidRPr="00C1588A">
        <w:rPr>
          <w:rStyle w:val="FootnoteReference"/>
          <w:rFonts w:ascii="Sylfaen" w:hAnsi="Sylfaen"/>
        </w:rPr>
        <w:footnoteRef/>
      </w:r>
      <w:r w:rsidRPr="00C1588A">
        <w:rPr>
          <w:rFonts w:ascii="Sylfaen" w:hAnsi="Sylfaen"/>
        </w:rPr>
        <w:tab/>
      </w:r>
      <w:r w:rsidR="00942C71" w:rsidRPr="00C1588A">
        <w:rPr>
          <w:rFonts w:ascii="Sylfaen" w:hAnsi="Sylfaen"/>
          <w:lang w:val="ka-GE"/>
        </w:rPr>
        <w:t xml:space="preserve">სახელმწიფო მხარე მიუთითებს </w:t>
      </w:r>
      <w:r w:rsidR="00804C6E">
        <w:rPr>
          <w:rFonts w:ascii="Sylfaen" w:hAnsi="Sylfaen"/>
          <w:lang w:val="ka-GE"/>
        </w:rPr>
        <w:t xml:space="preserve">შემდეგ </w:t>
      </w:r>
      <w:r w:rsidR="00942C71" w:rsidRPr="00C1588A">
        <w:rPr>
          <w:rFonts w:ascii="Sylfaen" w:hAnsi="Sylfaen"/>
          <w:lang w:val="ka-GE"/>
        </w:rPr>
        <w:t>გადაწყვეტილება</w:t>
      </w:r>
      <w:r w:rsidR="00804C6E">
        <w:rPr>
          <w:rFonts w:ascii="Sylfaen" w:hAnsi="Sylfaen"/>
          <w:lang w:val="ka-GE"/>
        </w:rPr>
        <w:t>ში</w:t>
      </w:r>
      <w:r w:rsidR="00942C71" w:rsidRPr="00C1588A">
        <w:rPr>
          <w:rFonts w:ascii="Sylfaen" w:hAnsi="Sylfaen"/>
          <w:lang w:val="ka-GE"/>
        </w:rPr>
        <w:t xml:space="preserve"> </w:t>
      </w:r>
      <w:r w:rsidR="00804C6E">
        <w:rPr>
          <w:rFonts w:ascii="Sylfaen" w:hAnsi="Sylfaen"/>
          <w:lang w:val="ka-GE"/>
        </w:rPr>
        <w:t xml:space="preserve">მოცემულ ინფორმაციაზე: </w:t>
      </w:r>
      <w:r w:rsidR="00942C71" w:rsidRPr="00C1588A">
        <w:rPr>
          <w:rFonts w:ascii="Sylfaen" w:hAnsi="Sylfaen"/>
          <w:lang w:val="ka-GE"/>
        </w:rPr>
        <w:t xml:space="preserve">„ღირებულებები </w:t>
      </w:r>
      <w:r w:rsidR="00C1588A" w:rsidRPr="00C1588A">
        <w:rPr>
          <w:rFonts w:ascii="Sylfaen" w:hAnsi="Sylfaen"/>
          <w:lang w:val="ka-GE"/>
        </w:rPr>
        <w:t>საჯარო</w:t>
      </w:r>
      <w:r w:rsidR="00942C71" w:rsidRPr="00C1588A">
        <w:rPr>
          <w:rFonts w:ascii="Sylfaen" w:hAnsi="Sylfaen"/>
          <w:lang w:val="ka-GE"/>
        </w:rPr>
        <w:t xml:space="preserve"> შესყიდვის ხელშეკრულების ფარგლებში“ </w:t>
      </w:r>
    </w:p>
  </w:footnote>
  <w:footnote w:id="10">
    <w:p w14:paraId="7A9CF9FC" w14:textId="48BBA3DB" w:rsidR="00712CA3" w:rsidRPr="00C1588A" w:rsidRDefault="00712CA3" w:rsidP="00712CA3">
      <w:pPr>
        <w:pStyle w:val="FootnoteText"/>
        <w:rPr>
          <w:rFonts w:ascii="Sylfaen" w:hAnsi="Sylfaen"/>
        </w:rPr>
      </w:pPr>
      <w:r w:rsidRPr="00C1588A">
        <w:rPr>
          <w:rFonts w:ascii="Sylfaen" w:hAnsi="Sylfaen"/>
        </w:rPr>
        <w:tab/>
      </w:r>
      <w:r w:rsidRPr="00C1588A">
        <w:rPr>
          <w:rStyle w:val="FootnoteReference"/>
          <w:rFonts w:ascii="Sylfaen" w:hAnsi="Sylfaen"/>
        </w:rPr>
        <w:footnoteRef/>
      </w:r>
      <w:r w:rsidRPr="00C1588A">
        <w:rPr>
          <w:rFonts w:ascii="Sylfaen" w:hAnsi="Sylfaen"/>
        </w:rPr>
        <w:tab/>
      </w:r>
      <w:r w:rsidR="00C1588A" w:rsidRPr="00C1588A">
        <w:rPr>
          <w:rFonts w:ascii="Sylfaen" w:hAnsi="Sylfaen"/>
          <w:lang w:val="ka-GE"/>
        </w:rPr>
        <w:t>იხ. რეგულაცია</w:t>
      </w:r>
      <w:r w:rsidRPr="00C1588A">
        <w:rPr>
          <w:rFonts w:ascii="Sylfaen" w:hAnsi="Sylfaen"/>
        </w:rPr>
        <w:t xml:space="preserve"> 2017:462.</w:t>
      </w:r>
    </w:p>
  </w:footnote>
  <w:footnote w:id="11">
    <w:p w14:paraId="5B36FCC2" w14:textId="3DC96280" w:rsidR="00F0037F" w:rsidRPr="000F3911" w:rsidRDefault="00E645A0" w:rsidP="00954286">
      <w:pPr>
        <w:pStyle w:val="FootnoteText"/>
      </w:pPr>
      <w:r w:rsidRPr="00C1588A">
        <w:rPr>
          <w:rFonts w:ascii="Sylfaen" w:hAnsi="Sylfaen"/>
        </w:rPr>
        <w:tab/>
      </w:r>
      <w:r w:rsidR="00F0037F" w:rsidRPr="00C1588A">
        <w:rPr>
          <w:rStyle w:val="FootnoteReference"/>
          <w:rFonts w:ascii="Sylfaen" w:hAnsi="Sylfaen"/>
        </w:rPr>
        <w:footnoteRef/>
      </w:r>
      <w:r w:rsidRPr="00C1588A">
        <w:rPr>
          <w:rFonts w:ascii="Sylfaen" w:hAnsi="Sylfaen"/>
        </w:rPr>
        <w:tab/>
      </w:r>
      <w:r w:rsidR="00C1588A" w:rsidRPr="00C1588A">
        <w:rPr>
          <w:rFonts w:ascii="Sylfaen" w:hAnsi="Sylfaen"/>
          <w:lang w:val="ka-GE"/>
        </w:rPr>
        <w:t>იხ. სამინისტროს პუბლიკაციების სერია</w:t>
      </w:r>
      <w:r w:rsidR="00F0037F" w:rsidRPr="00C1588A">
        <w:rPr>
          <w:rFonts w:ascii="Sylfaen" w:hAnsi="Sylfaen"/>
        </w:rPr>
        <w:t xml:space="preserve"> 2016:7, </w:t>
      </w:r>
      <w:r w:rsidR="00C1588A" w:rsidRPr="00C1588A">
        <w:rPr>
          <w:rFonts w:ascii="Sylfaen" w:hAnsi="Sylfaen"/>
          <w:lang w:val="ka-GE"/>
        </w:rPr>
        <w:t>გვ.</w:t>
      </w:r>
      <w:r w:rsidR="00F0037F" w:rsidRPr="00C1588A">
        <w:rPr>
          <w:rFonts w:ascii="Sylfaen" w:hAnsi="Sylfaen"/>
        </w:rPr>
        <w:t xml:space="preserve"> 21</w:t>
      </w:r>
      <w:r w:rsidRPr="00C1588A">
        <w:rPr>
          <w:rFonts w:ascii="Sylfaen" w:hAnsi="Sylfaen"/>
        </w:rPr>
        <w:t>.</w:t>
      </w:r>
    </w:p>
  </w:footnote>
  <w:footnote w:id="12">
    <w:p w14:paraId="6B36992B" w14:textId="431C65E2" w:rsidR="00515674" w:rsidRPr="00B07541" w:rsidRDefault="00515674" w:rsidP="00515674">
      <w:pPr>
        <w:pStyle w:val="FootnoteText"/>
        <w:rPr>
          <w:rFonts w:ascii="Sylfaen" w:hAnsi="Sylfaen"/>
        </w:rPr>
      </w:pPr>
      <w:r w:rsidRPr="000F3911">
        <w:tab/>
      </w:r>
      <w:r w:rsidRPr="00B07541">
        <w:rPr>
          <w:rStyle w:val="FootnoteReference"/>
          <w:rFonts w:ascii="Sylfaen" w:hAnsi="Sylfaen"/>
        </w:rPr>
        <w:footnoteRef/>
      </w:r>
      <w:r w:rsidRPr="00B07541">
        <w:rPr>
          <w:rFonts w:ascii="Sylfaen" w:hAnsi="Sylfaen"/>
        </w:rPr>
        <w:tab/>
      </w:r>
      <w:r w:rsidRPr="00B07541">
        <w:rPr>
          <w:rFonts w:ascii="Sylfaen" w:hAnsi="Sylfaen"/>
          <w:lang w:val="ka-GE"/>
        </w:rPr>
        <w:t>დაახლოებით,</w:t>
      </w:r>
      <w:r w:rsidRPr="00B07541">
        <w:rPr>
          <w:rFonts w:ascii="Sylfaen" w:hAnsi="Sylfaen"/>
        </w:rPr>
        <w:t xml:space="preserve"> 137</w:t>
      </w:r>
      <w:r w:rsidR="007847D2">
        <w:rPr>
          <w:rFonts w:ascii="Sylfaen" w:hAnsi="Sylfaen"/>
          <w:lang w:val="ka-GE"/>
        </w:rPr>
        <w:t>,</w:t>
      </w:r>
      <w:r w:rsidRPr="00B07541">
        <w:rPr>
          <w:rFonts w:ascii="Sylfaen" w:hAnsi="Sylfaen"/>
        </w:rPr>
        <w:t xml:space="preserve">62 </w:t>
      </w:r>
      <w:r w:rsidRPr="00B07541">
        <w:rPr>
          <w:rFonts w:ascii="Sylfaen" w:hAnsi="Sylfaen"/>
          <w:lang w:val="ka-GE"/>
        </w:rPr>
        <w:t>მილიარდი ამერიკული დოლარი (</w:t>
      </w:r>
      <w:r w:rsidRPr="00B07541">
        <w:rPr>
          <w:rFonts w:ascii="Sylfaen" w:hAnsi="Sylfaen"/>
        </w:rPr>
        <w:t>USD</w:t>
      </w:r>
      <w:r w:rsidRPr="00B07541">
        <w:rPr>
          <w:rFonts w:ascii="Sylfaen" w:hAnsi="Sylfaen"/>
          <w:lang w:val="ka-GE"/>
        </w:rPr>
        <w:t>)</w:t>
      </w:r>
      <w:r w:rsidRPr="00B07541">
        <w:rPr>
          <w:rFonts w:ascii="Sylfaen" w:hAnsi="Sylfaen"/>
        </w:rPr>
        <w:t>.</w:t>
      </w:r>
    </w:p>
  </w:footnote>
  <w:footnote w:id="13">
    <w:p w14:paraId="0E8A3967" w14:textId="59F4A69A" w:rsidR="002A3207" w:rsidRPr="00CE57B3" w:rsidRDefault="002A3207" w:rsidP="002A3207">
      <w:pPr>
        <w:pStyle w:val="FootnoteText"/>
      </w:pPr>
      <w:r w:rsidRPr="00B07541">
        <w:rPr>
          <w:rFonts w:ascii="Sylfaen" w:hAnsi="Sylfaen"/>
        </w:rPr>
        <w:tab/>
      </w:r>
      <w:r w:rsidRPr="00B07541">
        <w:rPr>
          <w:rStyle w:val="FootnoteReference"/>
          <w:rFonts w:ascii="Sylfaen" w:hAnsi="Sylfaen"/>
        </w:rPr>
        <w:footnoteRef/>
      </w:r>
      <w:r w:rsidRPr="00B07541">
        <w:rPr>
          <w:rFonts w:ascii="Sylfaen" w:hAnsi="Sylfaen"/>
        </w:rPr>
        <w:tab/>
      </w:r>
      <w:r w:rsidR="00912090" w:rsidRPr="00B07541">
        <w:rPr>
          <w:rFonts w:ascii="Sylfaen" w:hAnsi="Sylfaen"/>
          <w:lang w:val="ka-GE"/>
        </w:rPr>
        <w:t xml:space="preserve">სახელმწიფო მხარე გულისხმობს შეტყობინებას </w:t>
      </w:r>
      <w:r w:rsidRPr="00B07541">
        <w:rPr>
          <w:rFonts w:ascii="Sylfaen" w:hAnsi="Sylfaen"/>
        </w:rPr>
        <w:t xml:space="preserve">No. 1118/2002, </w:t>
      </w:r>
      <w:r w:rsidR="00912090" w:rsidRPr="00B07541">
        <w:rPr>
          <w:rFonts w:ascii="Sylfaen" w:hAnsi="Sylfaen"/>
          <w:lang w:val="ka-GE"/>
        </w:rPr>
        <w:t xml:space="preserve">დეპერაზი და </w:t>
      </w:r>
      <w:r w:rsidR="00B07541" w:rsidRPr="00B07541">
        <w:rPr>
          <w:rFonts w:ascii="Sylfaen" w:hAnsi="Sylfaen"/>
          <w:lang w:val="ka-GE"/>
        </w:rPr>
        <w:t xml:space="preserve">დელიუტრაზი საფრანგეთის წინააღმდეგ, დაუშვებლობის შესახებ გადაწყვეტილება მიღებულია 2005 წლის 17 მარტს, პუნქტი 6.4 და შეტყობინებას </w:t>
      </w:r>
      <w:r w:rsidRPr="00B07541">
        <w:rPr>
          <w:rFonts w:ascii="Sylfaen" w:hAnsi="Sylfaen"/>
        </w:rPr>
        <w:t xml:space="preserve">No. 904/2000, </w:t>
      </w:r>
      <w:r w:rsidR="00B07541" w:rsidRPr="00B07541">
        <w:rPr>
          <w:rFonts w:ascii="Sylfaen" w:hAnsi="Sylfaen"/>
          <w:lang w:val="ka-GE"/>
        </w:rPr>
        <w:t xml:space="preserve">ვან მარკე ბელგიის წინააღმდეგ, შეხედულებები მიღებულია 2004 წლის 7 ივლისს, პუნქტი </w:t>
      </w:r>
      <w:r w:rsidRPr="00B07541">
        <w:rPr>
          <w:rFonts w:ascii="Sylfaen" w:hAnsi="Sylfaen"/>
        </w:rPr>
        <w:t>6.3.</w:t>
      </w:r>
    </w:p>
  </w:footnote>
  <w:footnote w:id="14">
    <w:p w14:paraId="25758EF9" w14:textId="1603FA23" w:rsidR="00FD26CD" w:rsidRPr="00341600" w:rsidRDefault="00FD26CD" w:rsidP="00FD26CD">
      <w:pPr>
        <w:pStyle w:val="FootnoteText"/>
        <w:rPr>
          <w:rFonts w:ascii="Sylfaen" w:hAnsi="Sylfaen"/>
        </w:rPr>
      </w:pPr>
      <w:r w:rsidRPr="00CE57B3">
        <w:tab/>
      </w:r>
      <w:r w:rsidRPr="00341600">
        <w:rPr>
          <w:rStyle w:val="FootnoteReference"/>
          <w:rFonts w:ascii="Sylfaen" w:hAnsi="Sylfaen"/>
        </w:rPr>
        <w:footnoteRef/>
      </w:r>
      <w:r w:rsidRPr="00341600">
        <w:rPr>
          <w:rFonts w:ascii="Sylfaen" w:hAnsi="Sylfaen"/>
        </w:rPr>
        <w:tab/>
      </w:r>
      <w:r w:rsidR="00341600" w:rsidRPr="00341600">
        <w:rPr>
          <w:rFonts w:ascii="Sylfaen" w:hAnsi="Sylfaen"/>
          <w:lang w:val="ka-GE"/>
        </w:rPr>
        <w:t xml:space="preserve">ზოგადი კომენტარი </w:t>
      </w:r>
      <w:r w:rsidRPr="00341600">
        <w:rPr>
          <w:rFonts w:ascii="Sylfaen" w:hAnsi="Sylfaen"/>
          <w:spacing w:val="-2"/>
        </w:rPr>
        <w:t xml:space="preserve">No. 6 (2018) </w:t>
      </w:r>
      <w:r w:rsidR="00341600" w:rsidRPr="00341600">
        <w:rPr>
          <w:rFonts w:ascii="Sylfaen" w:hAnsi="Sylfaen"/>
          <w:spacing w:val="-2"/>
          <w:lang w:val="ka-GE"/>
        </w:rPr>
        <w:t xml:space="preserve">თანასწორობისა და დისკრიმინაციის დაუშვებლობის შესახებ, </w:t>
      </w:r>
      <w:r w:rsidRPr="00341600">
        <w:rPr>
          <w:rFonts w:ascii="Sylfaen" w:hAnsi="Sylfaen"/>
          <w:spacing w:val="-2"/>
        </w:rPr>
        <w:t xml:space="preserve">CRPD/C/GC/6, </w:t>
      </w:r>
      <w:r w:rsidR="00341600" w:rsidRPr="00341600">
        <w:rPr>
          <w:rFonts w:ascii="Sylfaen" w:hAnsi="Sylfaen"/>
          <w:spacing w:val="-2"/>
          <w:lang w:val="ka-GE"/>
        </w:rPr>
        <w:t>პუნქტი</w:t>
      </w:r>
      <w:r w:rsidRPr="00341600">
        <w:rPr>
          <w:rFonts w:ascii="Sylfaen" w:hAnsi="Sylfaen"/>
          <w:spacing w:val="-2"/>
        </w:rPr>
        <w:t xml:space="preserve"> 25 (a) </w:t>
      </w:r>
      <w:r w:rsidR="00341600" w:rsidRPr="00341600">
        <w:rPr>
          <w:rFonts w:ascii="Sylfaen" w:hAnsi="Sylfaen"/>
          <w:spacing w:val="-2"/>
          <w:lang w:val="ka-GE"/>
        </w:rPr>
        <w:t>და</w:t>
      </w:r>
      <w:r w:rsidRPr="00341600">
        <w:rPr>
          <w:rFonts w:ascii="Sylfaen" w:hAnsi="Sylfaen"/>
          <w:spacing w:val="-2"/>
        </w:rPr>
        <w:t xml:space="preserve"> (b).</w:t>
      </w:r>
    </w:p>
  </w:footnote>
  <w:footnote w:id="15">
    <w:p w14:paraId="46956BD5" w14:textId="5EDA61CE" w:rsidR="008856A2" w:rsidRPr="00D339A6" w:rsidRDefault="008856A2" w:rsidP="008856A2">
      <w:pPr>
        <w:pStyle w:val="FootnoteText"/>
        <w:rPr>
          <w:rFonts w:ascii="Sylfaen" w:hAnsi="Sylfaen"/>
        </w:rPr>
      </w:pPr>
      <w:r w:rsidRPr="00CE57B3">
        <w:tab/>
      </w:r>
      <w:r w:rsidRPr="00D339A6">
        <w:rPr>
          <w:rStyle w:val="FootnoteReference"/>
          <w:rFonts w:ascii="Sylfaen" w:hAnsi="Sylfaen"/>
        </w:rPr>
        <w:footnoteRef/>
      </w:r>
      <w:r w:rsidRPr="00D339A6">
        <w:rPr>
          <w:rFonts w:ascii="Sylfaen" w:hAnsi="Sylfaen"/>
        </w:rPr>
        <w:tab/>
      </w:r>
      <w:r w:rsidR="00F373FD" w:rsidRPr="00D339A6">
        <w:rPr>
          <w:rFonts w:ascii="Sylfaen" w:hAnsi="Sylfaen"/>
          <w:lang w:val="ka-GE"/>
        </w:rPr>
        <w:t xml:space="preserve">იხ. </w:t>
      </w:r>
      <w:r w:rsidR="007E08C9" w:rsidRPr="00D339A6">
        <w:rPr>
          <w:rFonts w:ascii="Sylfaen" w:hAnsi="Sylfaen"/>
          <w:lang w:val="ka-GE"/>
        </w:rPr>
        <w:t xml:space="preserve">შრომითი დავების სასამართლო საპროცესო აქტის მე-5 </w:t>
      </w:r>
      <w:r w:rsidR="00F373FD" w:rsidRPr="00D339A6">
        <w:rPr>
          <w:rFonts w:ascii="Sylfaen" w:hAnsi="Sylfaen"/>
          <w:lang w:val="ka-GE"/>
        </w:rPr>
        <w:t>თავი</w:t>
      </w:r>
      <w:r w:rsidRPr="00D339A6">
        <w:rPr>
          <w:rFonts w:ascii="Sylfaen" w:hAnsi="Sylfaen"/>
        </w:rPr>
        <w:t xml:space="preserve"> </w:t>
      </w:r>
      <w:r w:rsidR="007E08C9" w:rsidRPr="00D339A6">
        <w:rPr>
          <w:rFonts w:ascii="Sylfaen" w:hAnsi="Sylfaen"/>
          <w:lang w:val="ka-GE"/>
        </w:rPr>
        <w:t>მე-3 ნაწილი</w:t>
      </w:r>
      <w:r w:rsidRPr="00D339A6">
        <w:rPr>
          <w:rFonts w:ascii="Sylfaen" w:hAnsi="Sylfaen"/>
        </w:rPr>
        <w:t xml:space="preserve"> </w:t>
      </w:r>
      <w:r w:rsidR="007E08C9" w:rsidRPr="00D339A6">
        <w:rPr>
          <w:rFonts w:ascii="Sylfaen" w:hAnsi="Sylfaen"/>
          <w:lang w:val="ka-GE"/>
        </w:rPr>
        <w:t xml:space="preserve">და შვედეთის სასამართლო საპროცესო კოდექსის მე-17 თავი, მე-3 ნაწილი </w:t>
      </w:r>
      <w:r w:rsidRPr="00D339A6">
        <w:rPr>
          <w:rFonts w:ascii="Sylfaen" w:hAnsi="Sylfaen"/>
        </w:rPr>
        <w:t>(rättegångsbalken, 1942:740).</w:t>
      </w:r>
    </w:p>
  </w:footnote>
  <w:footnote w:id="16">
    <w:p w14:paraId="50BBAC94" w14:textId="1098FA60" w:rsidR="0083015A" w:rsidRPr="00D339A6" w:rsidRDefault="0083015A" w:rsidP="0083015A">
      <w:pPr>
        <w:pStyle w:val="FootnoteText"/>
        <w:rPr>
          <w:rFonts w:ascii="Sylfaen" w:hAnsi="Sylfaen"/>
          <w:lang w:val="es-ES"/>
        </w:rPr>
      </w:pPr>
      <w:r w:rsidRPr="00D339A6">
        <w:rPr>
          <w:rFonts w:ascii="Sylfaen" w:hAnsi="Sylfaen"/>
        </w:rPr>
        <w:tab/>
      </w:r>
      <w:r w:rsidRPr="00D339A6">
        <w:rPr>
          <w:rStyle w:val="FootnoteReference"/>
          <w:rFonts w:ascii="Sylfaen" w:hAnsi="Sylfaen"/>
        </w:rPr>
        <w:footnoteRef/>
      </w:r>
      <w:r w:rsidRPr="00D339A6">
        <w:rPr>
          <w:rFonts w:ascii="Sylfaen" w:hAnsi="Sylfaen"/>
          <w:lang w:val="es-ES"/>
        </w:rPr>
        <w:tab/>
      </w:r>
      <w:r w:rsidR="007E08C9" w:rsidRPr="00D339A6">
        <w:rPr>
          <w:rFonts w:ascii="Sylfaen" w:hAnsi="Sylfaen"/>
          <w:lang w:val="ka-GE"/>
        </w:rPr>
        <w:t xml:space="preserve">ზოგადი კომენტარი </w:t>
      </w:r>
      <w:r w:rsidRPr="00D339A6">
        <w:rPr>
          <w:rFonts w:ascii="Sylfaen" w:hAnsi="Sylfaen"/>
          <w:lang w:val="es-ES"/>
        </w:rPr>
        <w:t xml:space="preserve">No. 6, </w:t>
      </w:r>
      <w:r w:rsidR="007E08C9" w:rsidRPr="00D339A6">
        <w:rPr>
          <w:rFonts w:ascii="Sylfaen" w:hAnsi="Sylfaen"/>
          <w:lang w:val="ka-GE"/>
        </w:rPr>
        <w:t>იქვე,</w:t>
      </w:r>
      <w:r w:rsidRPr="00D339A6">
        <w:rPr>
          <w:rFonts w:ascii="Sylfaen" w:hAnsi="Sylfaen"/>
          <w:lang w:val="es-ES"/>
        </w:rPr>
        <w:t xml:space="preserve"> </w:t>
      </w:r>
      <w:r w:rsidR="007E08C9" w:rsidRPr="00D339A6">
        <w:rPr>
          <w:rFonts w:ascii="Sylfaen" w:hAnsi="Sylfaen"/>
          <w:lang w:val="ka-GE"/>
        </w:rPr>
        <w:t>პ</w:t>
      </w:r>
      <w:r w:rsidR="00D339A6" w:rsidRPr="00D339A6">
        <w:rPr>
          <w:rFonts w:ascii="Sylfaen" w:hAnsi="Sylfaen"/>
          <w:lang w:val="ka-GE"/>
        </w:rPr>
        <w:t>უნქტი</w:t>
      </w:r>
      <w:r w:rsidRPr="00D339A6">
        <w:rPr>
          <w:rFonts w:ascii="Sylfaen" w:hAnsi="Sylfaen"/>
          <w:lang w:val="es-ES"/>
        </w:rPr>
        <w:t xml:space="preserve"> 25 (b).</w:t>
      </w:r>
    </w:p>
  </w:footnote>
  <w:footnote w:id="17">
    <w:p w14:paraId="716132A0" w14:textId="63C81032" w:rsidR="00F373FD" w:rsidRPr="00D339A6" w:rsidRDefault="00F373FD" w:rsidP="00F373FD">
      <w:pPr>
        <w:pStyle w:val="FootnoteText"/>
        <w:rPr>
          <w:rFonts w:ascii="Sylfaen" w:hAnsi="Sylfaen"/>
        </w:rPr>
      </w:pPr>
      <w:r w:rsidRPr="00D339A6">
        <w:rPr>
          <w:rFonts w:ascii="Sylfaen" w:hAnsi="Sylfaen"/>
          <w:lang w:val="es-ES"/>
        </w:rPr>
        <w:tab/>
      </w:r>
      <w:r w:rsidRPr="00D339A6">
        <w:rPr>
          <w:rStyle w:val="FootnoteReference"/>
          <w:rFonts w:ascii="Sylfaen" w:hAnsi="Sylfaen"/>
        </w:rPr>
        <w:footnoteRef/>
      </w:r>
      <w:r w:rsidRPr="00D339A6">
        <w:rPr>
          <w:rFonts w:ascii="Sylfaen" w:hAnsi="Sylfaen"/>
        </w:rPr>
        <w:tab/>
      </w:r>
      <w:r w:rsidR="007E08C9" w:rsidRPr="00D339A6">
        <w:rPr>
          <w:rFonts w:ascii="Sylfaen" w:hAnsi="Sylfaen"/>
          <w:lang w:val="ka-GE"/>
        </w:rPr>
        <w:t>იქვე,</w:t>
      </w:r>
      <w:r w:rsidRPr="00D339A6">
        <w:rPr>
          <w:rFonts w:ascii="Sylfaen" w:hAnsi="Sylfaen"/>
        </w:rPr>
        <w:t xml:space="preserve"> </w:t>
      </w:r>
      <w:r w:rsidR="00D339A6" w:rsidRPr="00D339A6">
        <w:rPr>
          <w:rFonts w:ascii="Sylfaen" w:hAnsi="Sylfaen"/>
          <w:lang w:val="ka-GE"/>
        </w:rPr>
        <w:t>პუნქტი</w:t>
      </w:r>
      <w:r w:rsidRPr="00D339A6">
        <w:rPr>
          <w:rFonts w:ascii="Sylfaen" w:hAnsi="Sylfaen"/>
        </w:rPr>
        <w:t xml:space="preserve"> 26 (e).</w:t>
      </w:r>
    </w:p>
  </w:footnote>
  <w:footnote w:id="18">
    <w:p w14:paraId="247A7AB2" w14:textId="77777777" w:rsidR="00042220" w:rsidRPr="00CE57B3" w:rsidRDefault="00042220" w:rsidP="00042220">
      <w:pPr>
        <w:pStyle w:val="FootnoteText"/>
      </w:pPr>
      <w:r w:rsidRPr="00D339A6">
        <w:rPr>
          <w:rFonts w:ascii="Sylfaen" w:hAnsi="Sylfaen"/>
        </w:rPr>
        <w:tab/>
      </w:r>
      <w:r w:rsidRPr="00D339A6">
        <w:rPr>
          <w:rStyle w:val="FootnoteReference"/>
          <w:rFonts w:ascii="Sylfaen" w:hAnsi="Sylfaen"/>
        </w:rPr>
        <w:footnoteRef/>
      </w:r>
      <w:r w:rsidRPr="00D339A6">
        <w:rPr>
          <w:rFonts w:ascii="Sylfaen" w:hAnsi="Sylfaen"/>
        </w:rPr>
        <w:tab/>
      </w:r>
      <w:r w:rsidRPr="00D339A6">
        <w:rPr>
          <w:rFonts w:ascii="Sylfaen" w:hAnsi="Sylfaen"/>
          <w:lang w:val="ka-GE"/>
        </w:rPr>
        <w:t>იხ. შეტყობინება</w:t>
      </w:r>
      <w:r w:rsidRPr="00D339A6">
        <w:rPr>
          <w:rFonts w:ascii="Sylfaen" w:hAnsi="Sylfaen"/>
        </w:rPr>
        <w:t xml:space="preserve"> No. 5/2011, </w:t>
      </w:r>
      <w:r w:rsidRPr="00D339A6">
        <w:rPr>
          <w:rFonts w:ascii="Sylfaen" w:hAnsi="Sylfaen"/>
          <w:lang w:val="ka-GE"/>
        </w:rPr>
        <w:t>იუნგელინი შვედეთის წინააღმდეგ, შეხედულებები მიღებულია 2014 წლის 2 ოქტომბერს, პუნქტი</w:t>
      </w:r>
      <w:r w:rsidRPr="00D339A6">
        <w:rPr>
          <w:rFonts w:ascii="Sylfaen" w:hAnsi="Sylfaen"/>
        </w:rPr>
        <w:t xml:space="preserve"> 10.5.</w:t>
      </w:r>
    </w:p>
  </w:footnote>
  <w:footnote w:id="19">
    <w:p w14:paraId="19F1D4EB" w14:textId="443A7667" w:rsidR="00C274E8" w:rsidRPr="003F4D45" w:rsidRDefault="00C274E8" w:rsidP="00C274E8">
      <w:pPr>
        <w:pStyle w:val="FootnoteText"/>
        <w:rPr>
          <w:rFonts w:ascii="Sylfaen" w:hAnsi="Sylfaen"/>
        </w:rPr>
      </w:pPr>
      <w:r w:rsidRPr="000F3911">
        <w:tab/>
      </w:r>
      <w:r w:rsidRPr="003F4D45">
        <w:rPr>
          <w:rStyle w:val="FootnoteReference"/>
          <w:rFonts w:ascii="Sylfaen" w:hAnsi="Sylfaen"/>
        </w:rPr>
        <w:footnoteRef/>
      </w:r>
      <w:r w:rsidRPr="003F4D45">
        <w:rPr>
          <w:rFonts w:ascii="Sylfaen" w:hAnsi="Sylfaen"/>
        </w:rPr>
        <w:tab/>
      </w:r>
      <w:r w:rsidR="00E67DD6" w:rsidRPr="003F4D45">
        <w:rPr>
          <w:rFonts w:ascii="Sylfaen" w:hAnsi="Sylfaen"/>
          <w:lang w:val="ka-GE"/>
        </w:rPr>
        <w:t>დაახლოებით,</w:t>
      </w:r>
      <w:r w:rsidRPr="003F4D45">
        <w:rPr>
          <w:rFonts w:ascii="Sylfaen" w:hAnsi="Sylfaen"/>
        </w:rPr>
        <w:t xml:space="preserve"> 55</w:t>
      </w:r>
      <w:r w:rsidR="003F4D45" w:rsidRPr="003F4D45">
        <w:rPr>
          <w:rFonts w:ascii="Sylfaen" w:hAnsi="Sylfaen"/>
          <w:lang w:val="ka-GE"/>
        </w:rPr>
        <w:t xml:space="preserve"> </w:t>
      </w:r>
      <w:r w:rsidRPr="003F4D45">
        <w:rPr>
          <w:rFonts w:ascii="Sylfaen" w:hAnsi="Sylfaen"/>
        </w:rPr>
        <w:t>341</w:t>
      </w:r>
      <w:r w:rsidR="003F4D45" w:rsidRPr="003F4D45">
        <w:rPr>
          <w:rFonts w:ascii="Sylfaen" w:hAnsi="Sylfaen"/>
          <w:lang w:val="ka-GE"/>
        </w:rPr>
        <w:t>,</w:t>
      </w:r>
      <w:r w:rsidRPr="003F4D45">
        <w:rPr>
          <w:rFonts w:ascii="Sylfaen" w:hAnsi="Sylfaen"/>
        </w:rPr>
        <w:t>31</w:t>
      </w:r>
      <w:r w:rsidR="003F4D45" w:rsidRPr="003F4D45">
        <w:rPr>
          <w:rFonts w:ascii="Sylfaen" w:hAnsi="Sylfaen"/>
          <w:lang w:val="ka-GE"/>
        </w:rPr>
        <w:t xml:space="preserve"> ამერიკული დოლარი (</w:t>
      </w:r>
      <w:r w:rsidR="003F4D45" w:rsidRPr="003F4D45">
        <w:rPr>
          <w:rFonts w:ascii="Sylfaen" w:hAnsi="Sylfaen"/>
          <w:lang w:val="en-US"/>
        </w:rPr>
        <w:t>USD)</w:t>
      </w:r>
      <w:r w:rsidRPr="003F4D45">
        <w:rPr>
          <w:rFonts w:ascii="Sylfaen" w:hAnsi="Sylfaen"/>
        </w:rPr>
        <w:t>.</w:t>
      </w:r>
    </w:p>
  </w:footnote>
  <w:footnote w:id="20">
    <w:p w14:paraId="1B977FEE" w14:textId="15CB234B" w:rsidR="001E4CB4" w:rsidRPr="000F3911" w:rsidRDefault="001E4CB4" w:rsidP="001E4CB4">
      <w:pPr>
        <w:pStyle w:val="FootnoteText"/>
      </w:pPr>
      <w:r w:rsidRPr="003F4D45">
        <w:rPr>
          <w:rFonts w:ascii="Sylfaen" w:hAnsi="Sylfaen"/>
        </w:rPr>
        <w:tab/>
      </w:r>
      <w:r w:rsidRPr="003F4D45">
        <w:rPr>
          <w:rStyle w:val="FootnoteReference"/>
          <w:rFonts w:ascii="Sylfaen" w:hAnsi="Sylfaen"/>
        </w:rPr>
        <w:footnoteRef/>
      </w:r>
      <w:r w:rsidRPr="003F4D45">
        <w:rPr>
          <w:rFonts w:ascii="Sylfaen" w:hAnsi="Sylfaen"/>
        </w:rPr>
        <w:tab/>
      </w:r>
      <w:r w:rsidR="003F4D45" w:rsidRPr="003F4D45">
        <w:rPr>
          <w:rFonts w:ascii="Sylfaen" w:hAnsi="Sylfaen"/>
          <w:lang w:val="ka-GE"/>
        </w:rPr>
        <w:t>სასამართლო მიუთითებს განსხვავებულ მოსაზრებაზე საქმეში იუნგელინი შვედეთის წინააღმდეგ, პუნქტი 5, სადაც ნათქვამია, რომ გათვალისწინებული უნდა იქნას სარგებელი სხვა შშმ თანამშრომლებისთვისაც.</w:t>
      </w:r>
    </w:p>
  </w:footnote>
  <w:footnote w:id="21">
    <w:p w14:paraId="02A68848" w14:textId="094DBA09" w:rsidR="0002566F" w:rsidRPr="00822966" w:rsidRDefault="0002566F" w:rsidP="00822966">
      <w:pPr>
        <w:pStyle w:val="FootnoteText"/>
        <w:rPr>
          <w:rFonts w:ascii="Sylfaen" w:hAnsi="Sylfaen"/>
          <w:lang w:val="ka-GE"/>
        </w:rPr>
      </w:pPr>
      <w:r w:rsidRPr="00822966">
        <w:rPr>
          <w:rFonts w:ascii="Sylfaen" w:hAnsi="Sylfaen"/>
        </w:rPr>
        <w:tab/>
      </w:r>
      <w:r w:rsidRPr="004F20B1">
        <w:rPr>
          <w:rStyle w:val="FootnoteReference"/>
          <w:rFonts w:ascii="Sylfaen" w:hAnsi="Sylfaen"/>
        </w:rPr>
        <w:footnoteRef/>
      </w:r>
      <w:r w:rsidRPr="004F20B1">
        <w:rPr>
          <w:rFonts w:ascii="Sylfaen" w:hAnsi="Sylfaen"/>
        </w:rPr>
        <w:tab/>
      </w:r>
      <w:r w:rsidR="003F4D45" w:rsidRPr="004F20B1">
        <w:rPr>
          <w:rFonts w:ascii="Sylfaen" w:hAnsi="Sylfaen"/>
          <w:lang w:val="ka-GE"/>
        </w:rPr>
        <w:t>სახელმწიფო მხარე</w:t>
      </w:r>
      <w:r w:rsidR="003F4D45" w:rsidRPr="00822966">
        <w:rPr>
          <w:rFonts w:ascii="Sylfaen" w:hAnsi="Sylfaen"/>
          <w:lang w:val="ka-GE"/>
        </w:rPr>
        <w:t xml:space="preserve"> მიუთითებს ადამიანის უფლებათა ევროპული სასამართლოს იურისპუდენციაზე საქმე</w:t>
      </w:r>
      <w:r w:rsidR="00822966" w:rsidRPr="00822966">
        <w:rPr>
          <w:rFonts w:ascii="Sylfaen" w:hAnsi="Sylfaen"/>
          <w:lang w:val="ka-GE"/>
        </w:rPr>
        <w:t>ებში</w:t>
      </w:r>
      <w:r w:rsidR="003F4D45" w:rsidRPr="00822966">
        <w:rPr>
          <w:rFonts w:ascii="Sylfaen" w:hAnsi="Sylfaen"/>
          <w:lang w:val="ka-GE"/>
        </w:rPr>
        <w:t xml:space="preserve">ში </w:t>
      </w:r>
      <w:r w:rsidR="00822966" w:rsidRPr="00822966">
        <w:rPr>
          <w:rFonts w:ascii="Sylfaen" w:hAnsi="Sylfaen"/>
          <w:lang w:val="ka-GE"/>
        </w:rPr>
        <w:t xml:space="preserve">(1) </w:t>
      </w:r>
      <w:r w:rsidR="003F4D45" w:rsidRPr="00822966">
        <w:rPr>
          <w:rFonts w:ascii="Sylfaen" w:hAnsi="Sylfaen"/>
          <w:lang w:val="ka-GE"/>
        </w:rPr>
        <w:t xml:space="preserve">ჯეიმსი და სხვები დიდი ბრიტანეთის წინააღმდეგ, 1986 წლის 21 თებევრალი, პუნქტი 46, სერია </w:t>
      </w:r>
      <w:r w:rsidRPr="00822966">
        <w:rPr>
          <w:rFonts w:ascii="Sylfaen" w:hAnsi="Sylfaen"/>
        </w:rPr>
        <w:t>A</w:t>
      </w:r>
      <w:r w:rsidR="00822966" w:rsidRPr="00822966">
        <w:rPr>
          <w:rFonts w:ascii="Sylfaen" w:hAnsi="Sylfaen"/>
          <w:lang w:val="ka-GE"/>
        </w:rPr>
        <w:t>,</w:t>
      </w:r>
      <w:r w:rsidRPr="00822966">
        <w:rPr>
          <w:rFonts w:ascii="Sylfaen" w:hAnsi="Sylfaen"/>
        </w:rPr>
        <w:t xml:space="preserve"> </w:t>
      </w:r>
      <w:r w:rsidR="00822966" w:rsidRPr="00822966">
        <w:rPr>
          <w:rFonts w:ascii="Sylfaen" w:hAnsi="Sylfaen"/>
          <w:lang w:val="en-US"/>
        </w:rPr>
        <w:t>n</w:t>
      </w:r>
      <w:r w:rsidRPr="00822966">
        <w:rPr>
          <w:rFonts w:ascii="Sylfaen" w:hAnsi="Sylfaen"/>
        </w:rPr>
        <w:t xml:space="preserve">o. 98 </w:t>
      </w:r>
      <w:r w:rsidR="00822966" w:rsidRPr="00822966">
        <w:rPr>
          <w:rFonts w:ascii="Sylfaen" w:hAnsi="Sylfaen"/>
          <w:lang w:val="ka-GE"/>
        </w:rPr>
        <w:t xml:space="preserve">და (2) ჰეტონი და სხვები დიდი ბრიტანეთის წინააღმდეგ </w:t>
      </w:r>
      <w:r w:rsidR="00822966" w:rsidRPr="00822966">
        <w:rPr>
          <w:rFonts w:ascii="Sylfaen" w:hAnsi="Sylfaen"/>
        </w:rPr>
        <w:t xml:space="preserve">[GC], no. 36022/97, </w:t>
      </w:r>
      <w:r w:rsidR="00822966" w:rsidRPr="00822966">
        <w:rPr>
          <w:rFonts w:ascii="Sylfaen" w:hAnsi="Sylfaen"/>
          <w:lang w:val="ka-GE"/>
        </w:rPr>
        <w:t>პუნქტი</w:t>
      </w:r>
      <w:r w:rsidR="00822966" w:rsidRPr="00822966">
        <w:rPr>
          <w:rFonts w:ascii="Sylfaen" w:hAnsi="Sylfaen"/>
        </w:rPr>
        <w:t xml:space="preserve"> 97, ECHR 2003-VIII.</w:t>
      </w:r>
      <w:r w:rsidR="00822966" w:rsidRPr="00822966">
        <w:rPr>
          <w:rFonts w:ascii="Sylfaen" w:hAnsi="Sylfaen"/>
          <w:lang w:val="ka-GE"/>
        </w:rPr>
        <w:t xml:space="preserve"> სახელმწიფო მხარე, აგრეთვე, ადამიანის უფლებათა კომიტეტის იურისპუდენციაზეც მიუთითებს, კერძოდ, საქმეზე კიტოკი შვედეთის წინააღმდეგ, შეტყობინება </w:t>
      </w:r>
      <w:r w:rsidR="00822966" w:rsidRPr="00822966">
        <w:rPr>
          <w:rFonts w:ascii="Sylfaen" w:hAnsi="Sylfaen"/>
        </w:rPr>
        <w:t>No. 197/1985</w:t>
      </w:r>
      <w:r w:rsidR="00822966" w:rsidRPr="00822966">
        <w:rPr>
          <w:rFonts w:ascii="Sylfaen" w:hAnsi="Sylfaen"/>
          <w:lang w:val="ka-GE"/>
        </w:rPr>
        <w:t xml:space="preserve">, </w:t>
      </w:r>
      <w:r w:rsidR="00822966" w:rsidRPr="004F20B1">
        <w:rPr>
          <w:rFonts w:ascii="Sylfaen" w:hAnsi="Sylfaen"/>
          <w:lang w:val="ka-GE"/>
        </w:rPr>
        <w:t>შეხედულებები მიღებულია 1988 წლის 27 ივლისს, პუნქტი 9.2, და ლოუი  და სხვები ავსტრალიის წინააღმდეგ, შეტყობინება</w:t>
      </w:r>
      <w:r w:rsidR="00822966" w:rsidRPr="00822966">
        <w:rPr>
          <w:rFonts w:ascii="Sylfaen" w:hAnsi="Sylfaen"/>
          <w:lang w:val="ka-GE"/>
        </w:rPr>
        <w:t xml:space="preserve"> </w:t>
      </w:r>
      <w:r w:rsidR="00822966" w:rsidRPr="00822966">
        <w:rPr>
          <w:rFonts w:ascii="Sylfaen" w:hAnsi="Sylfaen"/>
        </w:rPr>
        <w:t>No. 983/2001</w:t>
      </w:r>
      <w:r w:rsidR="00822966" w:rsidRPr="00822966">
        <w:rPr>
          <w:rFonts w:ascii="Sylfaen" w:hAnsi="Sylfaen"/>
          <w:lang w:val="ka-GE"/>
        </w:rPr>
        <w:t>, შეხედულებები მიღებულია 2003 წლის 25 მარტს, პუნქტი 8.2.</w:t>
      </w:r>
    </w:p>
  </w:footnote>
  <w:footnote w:id="22">
    <w:p w14:paraId="3EB8B4D1" w14:textId="0CDAC31D" w:rsidR="00794D04" w:rsidRPr="000F3911" w:rsidRDefault="00794D04" w:rsidP="00794D04">
      <w:pPr>
        <w:pStyle w:val="FootnoteText"/>
      </w:pPr>
      <w:r w:rsidRPr="00822966">
        <w:rPr>
          <w:rFonts w:ascii="Sylfaen" w:hAnsi="Sylfaen"/>
        </w:rPr>
        <w:tab/>
      </w:r>
      <w:r w:rsidRPr="00822966">
        <w:rPr>
          <w:rStyle w:val="FootnoteReference"/>
          <w:rFonts w:ascii="Sylfaen" w:hAnsi="Sylfaen"/>
        </w:rPr>
        <w:footnoteRef/>
      </w:r>
      <w:r w:rsidRPr="00822966">
        <w:rPr>
          <w:rFonts w:ascii="Sylfaen" w:hAnsi="Sylfaen"/>
        </w:rPr>
        <w:tab/>
      </w:r>
      <w:r w:rsidR="00822966" w:rsidRPr="00822966">
        <w:rPr>
          <w:rFonts w:ascii="Sylfaen" w:hAnsi="Sylfaen"/>
          <w:lang w:val="ka-GE"/>
        </w:rPr>
        <w:t xml:space="preserve">დაახლოებით </w:t>
      </w:r>
      <w:r w:rsidR="00822966" w:rsidRPr="00822966">
        <w:rPr>
          <w:rFonts w:ascii="Sylfaen" w:hAnsi="Sylfaen"/>
        </w:rPr>
        <w:t>78</w:t>
      </w:r>
      <w:r w:rsidR="00822966" w:rsidRPr="00822966">
        <w:rPr>
          <w:rFonts w:ascii="Sylfaen" w:hAnsi="Sylfaen"/>
          <w:lang w:val="ka-GE"/>
        </w:rPr>
        <w:t xml:space="preserve"> </w:t>
      </w:r>
      <w:r w:rsidR="00822966" w:rsidRPr="00822966">
        <w:rPr>
          <w:rFonts w:ascii="Sylfaen" w:hAnsi="Sylfaen"/>
        </w:rPr>
        <w:t>754.94</w:t>
      </w:r>
      <w:r w:rsidR="00822966" w:rsidRPr="00822966">
        <w:rPr>
          <w:rFonts w:ascii="Sylfaen" w:hAnsi="Sylfaen"/>
          <w:lang w:val="ka-GE"/>
        </w:rPr>
        <w:t xml:space="preserve">-დან </w:t>
      </w:r>
      <w:r w:rsidRPr="00822966">
        <w:rPr>
          <w:rFonts w:ascii="Sylfaen" w:hAnsi="Sylfaen"/>
        </w:rPr>
        <w:t>23</w:t>
      </w:r>
      <w:r w:rsidR="00822966" w:rsidRPr="00822966">
        <w:rPr>
          <w:rFonts w:ascii="Sylfaen" w:hAnsi="Sylfaen"/>
          <w:lang w:val="ka-GE"/>
        </w:rPr>
        <w:t xml:space="preserve"> </w:t>
      </w:r>
      <w:r w:rsidRPr="00822966">
        <w:rPr>
          <w:rFonts w:ascii="Sylfaen" w:hAnsi="Sylfaen"/>
        </w:rPr>
        <w:t>413,63</w:t>
      </w:r>
      <w:r w:rsidR="00822966" w:rsidRPr="00822966">
        <w:rPr>
          <w:rFonts w:ascii="Sylfaen" w:hAnsi="Sylfaen"/>
          <w:lang w:val="ka-GE"/>
        </w:rPr>
        <w:t xml:space="preserve"> ამერიკული დოლარი (</w:t>
      </w:r>
      <w:r w:rsidR="00822966" w:rsidRPr="00822966">
        <w:rPr>
          <w:rFonts w:ascii="Sylfaen" w:hAnsi="Sylfaen"/>
          <w:lang w:val="en-US"/>
        </w:rPr>
        <w:t>USD)</w:t>
      </w:r>
      <w:r w:rsidRPr="00822966">
        <w:rPr>
          <w:rFonts w:ascii="Sylfaen" w:hAnsi="Sylfaen"/>
        </w:rPr>
        <w:t>.</w:t>
      </w:r>
    </w:p>
  </w:footnote>
  <w:footnote w:id="23">
    <w:p w14:paraId="2859DF6B" w14:textId="0D5B4360" w:rsidR="007A137F" w:rsidRPr="00B12F93" w:rsidRDefault="007A137F" w:rsidP="007A137F">
      <w:pPr>
        <w:pStyle w:val="FootnoteText"/>
        <w:rPr>
          <w:rFonts w:ascii="Sylfaen" w:hAnsi="Sylfaen"/>
          <w:lang w:val="ka-GE"/>
        </w:rPr>
      </w:pPr>
      <w:r>
        <w:tab/>
      </w:r>
      <w:r w:rsidRPr="00B12F93">
        <w:rPr>
          <w:rStyle w:val="FootnoteReference"/>
          <w:rFonts w:ascii="Sylfaen" w:hAnsi="Sylfaen"/>
        </w:rPr>
        <w:footnoteRef/>
      </w:r>
      <w:r w:rsidRPr="00B12F93">
        <w:rPr>
          <w:rFonts w:ascii="Sylfaen" w:hAnsi="Sylfaen"/>
        </w:rPr>
        <w:tab/>
      </w:r>
      <w:r w:rsidR="00B12F93" w:rsidRPr="00B12F93">
        <w:rPr>
          <w:rFonts w:ascii="Sylfaen" w:hAnsi="Sylfaen"/>
          <w:lang w:val="ka-GE"/>
        </w:rPr>
        <w:t xml:space="preserve">დაახლოებით, </w:t>
      </w:r>
      <w:r w:rsidRPr="00B12F93">
        <w:rPr>
          <w:rFonts w:ascii="Sylfaen" w:hAnsi="Sylfaen"/>
        </w:rPr>
        <w:t>1</w:t>
      </w:r>
      <w:r w:rsidR="00B12F93" w:rsidRPr="00B12F93">
        <w:rPr>
          <w:rFonts w:ascii="Sylfaen" w:hAnsi="Sylfaen"/>
          <w:lang w:val="ka-GE"/>
        </w:rPr>
        <w:t xml:space="preserve"> </w:t>
      </w:r>
      <w:r w:rsidRPr="00B12F93">
        <w:rPr>
          <w:rFonts w:ascii="Sylfaen" w:hAnsi="Sylfaen"/>
        </w:rPr>
        <w:t>277</w:t>
      </w:r>
      <w:r w:rsidR="00B12F93" w:rsidRPr="00B12F93">
        <w:rPr>
          <w:rFonts w:ascii="Sylfaen" w:hAnsi="Sylfaen"/>
          <w:lang w:val="ka-GE"/>
        </w:rPr>
        <w:t xml:space="preserve"> </w:t>
      </w:r>
      <w:r w:rsidRPr="00B12F93">
        <w:rPr>
          <w:rFonts w:ascii="Sylfaen" w:hAnsi="Sylfaen"/>
        </w:rPr>
        <w:t>107,20</w:t>
      </w:r>
      <w:r w:rsidR="00B12F93" w:rsidRPr="00B12F93">
        <w:rPr>
          <w:rFonts w:ascii="Sylfaen" w:hAnsi="Sylfaen"/>
          <w:lang w:val="ka-GE"/>
        </w:rPr>
        <w:t xml:space="preserve"> ამერიკული დოლარი (</w:t>
      </w:r>
      <w:r w:rsidR="00B12F93" w:rsidRPr="00B12F93">
        <w:rPr>
          <w:rFonts w:ascii="Sylfaen" w:hAnsi="Sylfaen"/>
          <w:lang w:val="en-US"/>
        </w:rPr>
        <w:t>USD)</w:t>
      </w:r>
      <w:r w:rsidR="00B12F93" w:rsidRPr="00B12F93">
        <w:rPr>
          <w:rFonts w:ascii="Sylfaen" w:hAnsi="Sylfaen"/>
          <w:lang w:val="ka-GE"/>
        </w:rPr>
        <w:t>.</w:t>
      </w:r>
    </w:p>
  </w:footnote>
  <w:footnote w:id="24">
    <w:p w14:paraId="6CA1E858" w14:textId="3B127A84" w:rsidR="00A64F36" w:rsidRPr="00B12F93" w:rsidRDefault="00A64F36" w:rsidP="00A64F36">
      <w:pPr>
        <w:pStyle w:val="FootnoteText"/>
        <w:rPr>
          <w:rFonts w:asciiTheme="minorHAnsi" w:hAnsiTheme="minorHAnsi"/>
          <w:lang w:val="ka-GE"/>
        </w:rPr>
      </w:pPr>
      <w:r w:rsidRPr="00B12F93">
        <w:rPr>
          <w:rFonts w:ascii="Sylfaen" w:hAnsi="Sylfaen"/>
        </w:rPr>
        <w:tab/>
      </w:r>
      <w:r w:rsidRPr="00B12F93">
        <w:rPr>
          <w:rStyle w:val="FootnoteReference"/>
          <w:rFonts w:ascii="Sylfaen" w:hAnsi="Sylfaen"/>
        </w:rPr>
        <w:footnoteRef/>
      </w:r>
      <w:r w:rsidRPr="00B12F93">
        <w:rPr>
          <w:rFonts w:ascii="Sylfaen" w:hAnsi="Sylfaen"/>
        </w:rPr>
        <w:tab/>
      </w:r>
      <w:r w:rsidR="00B12F93" w:rsidRPr="00B12F93">
        <w:rPr>
          <w:rFonts w:ascii="Sylfaen" w:hAnsi="Sylfaen"/>
          <w:lang w:val="ka-GE"/>
        </w:rPr>
        <w:t xml:space="preserve">დაახლოებით, </w:t>
      </w:r>
      <w:r w:rsidRPr="00B12F93">
        <w:rPr>
          <w:rFonts w:ascii="Sylfaen" w:hAnsi="Sylfaen"/>
        </w:rPr>
        <w:t xml:space="preserve"> 1</w:t>
      </w:r>
      <w:r w:rsidR="00B12F93" w:rsidRPr="00B12F93">
        <w:rPr>
          <w:rFonts w:ascii="Sylfaen" w:hAnsi="Sylfaen"/>
          <w:lang w:val="ka-GE"/>
        </w:rPr>
        <w:t xml:space="preserve"> </w:t>
      </w:r>
      <w:r w:rsidRPr="00B12F93">
        <w:rPr>
          <w:rFonts w:ascii="Sylfaen" w:hAnsi="Sylfaen"/>
        </w:rPr>
        <w:t>947,59</w:t>
      </w:r>
      <w:r w:rsidR="00B12F93" w:rsidRPr="00B12F93">
        <w:rPr>
          <w:rFonts w:ascii="Sylfaen" w:hAnsi="Sylfaen"/>
          <w:lang w:val="ka-GE"/>
        </w:rPr>
        <w:t xml:space="preserve"> ამერიკული დოლარი (</w:t>
      </w:r>
      <w:r w:rsidR="00B12F93" w:rsidRPr="00B12F93">
        <w:rPr>
          <w:rFonts w:ascii="Sylfaen" w:hAnsi="Sylfaen"/>
          <w:lang w:val="en-US"/>
        </w:rPr>
        <w:t>USD)</w:t>
      </w:r>
      <w:r w:rsidR="00B12F93" w:rsidRPr="00B12F93">
        <w:rPr>
          <w:rFonts w:ascii="Sylfaen" w:hAnsi="Sylfaen"/>
          <w:lang w:val="ka-GE"/>
        </w:rPr>
        <w:t>.</w:t>
      </w:r>
    </w:p>
  </w:footnote>
  <w:footnote w:id="25">
    <w:p w14:paraId="163A54BC" w14:textId="584987D1" w:rsidR="00907A59" w:rsidRPr="000E289F" w:rsidRDefault="00907A59" w:rsidP="00907A59">
      <w:pPr>
        <w:pStyle w:val="FootnoteText"/>
        <w:rPr>
          <w:rFonts w:ascii="Sylfaen" w:hAnsi="Sylfaen"/>
        </w:rPr>
      </w:pPr>
      <w:r>
        <w:tab/>
      </w:r>
      <w:r w:rsidRPr="000E289F">
        <w:rPr>
          <w:rStyle w:val="FootnoteReference"/>
          <w:rFonts w:ascii="Sylfaen" w:hAnsi="Sylfaen"/>
        </w:rPr>
        <w:footnoteRef/>
      </w:r>
      <w:r w:rsidRPr="000E289F">
        <w:rPr>
          <w:rFonts w:ascii="Sylfaen" w:hAnsi="Sylfaen"/>
        </w:rPr>
        <w:tab/>
      </w:r>
      <w:r w:rsidR="002A78E3" w:rsidRPr="000E289F">
        <w:rPr>
          <w:rFonts w:ascii="Sylfaen" w:hAnsi="Sylfaen"/>
          <w:lang w:val="ka-GE"/>
        </w:rPr>
        <w:t xml:space="preserve">ავტორი გულისხმობს საქმეებს კარაკო უნგრეთის წინააღმდეგ და მარინკოვიჩი შვედეთის წინააღმდეგ. </w:t>
      </w:r>
    </w:p>
  </w:footnote>
  <w:footnote w:id="26">
    <w:p w14:paraId="48278F2B" w14:textId="0240466B" w:rsidR="00F9404E" w:rsidRPr="000F3911" w:rsidRDefault="00F9404E" w:rsidP="00F9404E">
      <w:pPr>
        <w:pStyle w:val="FootnoteText"/>
      </w:pPr>
      <w:r w:rsidRPr="000E289F">
        <w:rPr>
          <w:rFonts w:ascii="Sylfaen" w:hAnsi="Sylfaen"/>
        </w:rPr>
        <w:tab/>
      </w:r>
      <w:r w:rsidRPr="000E289F">
        <w:rPr>
          <w:rStyle w:val="FootnoteReference"/>
          <w:rFonts w:ascii="Sylfaen" w:hAnsi="Sylfaen"/>
        </w:rPr>
        <w:footnoteRef/>
      </w:r>
      <w:r w:rsidRPr="000E289F">
        <w:rPr>
          <w:rFonts w:ascii="Sylfaen" w:hAnsi="Sylfaen"/>
        </w:rPr>
        <w:tab/>
      </w:r>
      <w:r w:rsidR="002A78E3" w:rsidRPr="000E289F">
        <w:rPr>
          <w:rFonts w:ascii="Sylfaen" w:hAnsi="Sylfaen"/>
          <w:lang w:val="ka-GE"/>
        </w:rPr>
        <w:t xml:space="preserve">ავტორი მიმართავს საქმეებს კასტელსი ესპანეთის წინააღმდეგ, </w:t>
      </w:r>
      <w:r w:rsidRPr="000E289F">
        <w:rPr>
          <w:rFonts w:ascii="Sylfaen" w:hAnsi="Sylfaen"/>
        </w:rPr>
        <w:t xml:space="preserve">§ 32; </w:t>
      </w:r>
      <w:r w:rsidR="002A78E3" w:rsidRPr="000E289F">
        <w:rPr>
          <w:rFonts w:ascii="Sylfaen" w:hAnsi="Sylfaen"/>
          <w:lang w:val="ka-GE"/>
        </w:rPr>
        <w:t xml:space="preserve">ფრესოზი და რუარი </w:t>
      </w:r>
      <w:r w:rsidR="000E289F" w:rsidRPr="000E289F">
        <w:rPr>
          <w:rFonts w:ascii="Sylfaen" w:hAnsi="Sylfaen"/>
          <w:lang w:val="ka-GE"/>
        </w:rPr>
        <w:t>საფრანგეთის წინაათმდეგ,</w:t>
      </w:r>
      <w:r w:rsidRPr="000E289F">
        <w:rPr>
          <w:rFonts w:ascii="Sylfaen" w:hAnsi="Sylfaen"/>
        </w:rPr>
        <w:t xml:space="preserve"> § 37; </w:t>
      </w:r>
      <w:r w:rsidR="000E289F" w:rsidRPr="000E289F">
        <w:rPr>
          <w:rFonts w:ascii="Sylfaen" w:hAnsi="Sylfaen"/>
          <w:lang w:val="ka-GE"/>
        </w:rPr>
        <w:t>ვუჩკოვიჩი და სხვები სერბეთის წინააღმდეგ</w:t>
      </w:r>
      <w:r w:rsidRPr="000E289F">
        <w:rPr>
          <w:rFonts w:ascii="Sylfaen" w:hAnsi="Sylfaen"/>
        </w:rPr>
        <w:t xml:space="preserve"> [GC], §§72, 79 </w:t>
      </w:r>
      <w:r w:rsidR="000E289F" w:rsidRPr="000E289F">
        <w:rPr>
          <w:rFonts w:ascii="Sylfaen" w:hAnsi="Sylfaen"/>
          <w:lang w:val="ka-GE"/>
        </w:rPr>
        <w:t>და</w:t>
      </w:r>
      <w:r w:rsidRPr="000E289F">
        <w:rPr>
          <w:rFonts w:ascii="Sylfaen" w:hAnsi="Sylfaen"/>
        </w:rPr>
        <w:t xml:space="preserve"> 81-82.</w:t>
      </w:r>
    </w:p>
  </w:footnote>
  <w:footnote w:id="27">
    <w:p w14:paraId="689D8DC2" w14:textId="2404199C" w:rsidR="005F44C2" w:rsidRPr="00A317FD" w:rsidRDefault="005F44C2" w:rsidP="005F44C2">
      <w:pPr>
        <w:pStyle w:val="FootnoteText"/>
        <w:rPr>
          <w:rFonts w:ascii="Sylfaen" w:hAnsi="Sylfaen"/>
        </w:rPr>
      </w:pPr>
      <w:r w:rsidRPr="00A317FD">
        <w:rPr>
          <w:rFonts w:ascii="Sylfaen" w:hAnsi="Sylfaen"/>
        </w:rPr>
        <w:tab/>
      </w:r>
      <w:r w:rsidRPr="00A317FD">
        <w:rPr>
          <w:rStyle w:val="FootnoteReference"/>
          <w:rFonts w:ascii="Sylfaen" w:hAnsi="Sylfaen"/>
        </w:rPr>
        <w:footnoteRef/>
      </w:r>
      <w:r w:rsidRPr="00A317FD">
        <w:rPr>
          <w:rFonts w:ascii="Sylfaen" w:hAnsi="Sylfaen"/>
        </w:rPr>
        <w:tab/>
      </w:r>
      <w:r w:rsidR="00A317FD" w:rsidRPr="00A317FD">
        <w:rPr>
          <w:rFonts w:ascii="Sylfaen" w:hAnsi="Sylfaen"/>
          <w:lang w:val="ka-GE"/>
        </w:rPr>
        <w:t>სახელმწიფო მხარე გულისხმობს</w:t>
      </w:r>
      <w:r w:rsidRPr="00A317FD">
        <w:rPr>
          <w:rFonts w:ascii="Sylfaen" w:hAnsi="Sylfaen"/>
        </w:rPr>
        <w:t xml:space="preserve"> CCPR</w:t>
      </w:r>
      <w:r w:rsidR="00A317FD" w:rsidRPr="00A317FD">
        <w:rPr>
          <w:rFonts w:ascii="Sylfaen" w:hAnsi="Sylfaen"/>
          <w:lang w:val="ka-GE"/>
        </w:rPr>
        <w:t>-ს</w:t>
      </w:r>
      <w:r w:rsidRPr="00A317FD">
        <w:rPr>
          <w:rFonts w:ascii="Sylfaen" w:hAnsi="Sylfaen"/>
        </w:rPr>
        <w:t xml:space="preserve">, </w:t>
      </w:r>
      <w:r w:rsidR="00A317FD" w:rsidRPr="00A317FD">
        <w:rPr>
          <w:rFonts w:ascii="Sylfaen" w:hAnsi="Sylfaen"/>
          <w:lang w:val="ka-GE"/>
        </w:rPr>
        <w:t>შეტყობინებას</w:t>
      </w:r>
      <w:r w:rsidRPr="00A317FD">
        <w:rPr>
          <w:rFonts w:ascii="Sylfaen" w:hAnsi="Sylfaen"/>
        </w:rPr>
        <w:t xml:space="preserve"> No. 1777/2008, </w:t>
      </w:r>
      <w:r w:rsidR="00A317FD" w:rsidRPr="00A317FD">
        <w:rPr>
          <w:rFonts w:ascii="Sylfaen" w:hAnsi="Sylfaen"/>
          <w:lang w:val="ka-GE"/>
        </w:rPr>
        <w:t>კროშე საფრანგეთის წინააღმდეგ, შეხედულებები მიღებულია 2010 წლის</w:t>
      </w:r>
      <w:r w:rsidRPr="00A317FD">
        <w:rPr>
          <w:rFonts w:ascii="Sylfaen" w:hAnsi="Sylfaen"/>
        </w:rPr>
        <w:t xml:space="preserve"> 25</w:t>
      </w:r>
      <w:r w:rsidR="00A317FD" w:rsidRPr="00A317FD">
        <w:rPr>
          <w:rFonts w:ascii="Sylfaen" w:hAnsi="Sylfaen"/>
          <w:lang w:val="ka-GE"/>
        </w:rPr>
        <w:t xml:space="preserve"> ოქტომბერს, პუნქტი </w:t>
      </w:r>
      <w:r w:rsidRPr="00A317FD">
        <w:rPr>
          <w:rFonts w:ascii="Sylfaen" w:hAnsi="Sylfaen"/>
        </w:rPr>
        <w:t>6.4.</w:t>
      </w:r>
    </w:p>
  </w:footnote>
  <w:footnote w:id="28">
    <w:p w14:paraId="2A3589BD" w14:textId="1EAA43C9" w:rsidR="00C17B75" w:rsidRPr="005578B9" w:rsidRDefault="00C17B75" w:rsidP="00C17B75">
      <w:pPr>
        <w:pStyle w:val="FootnoteText"/>
        <w:rPr>
          <w:rFonts w:ascii="Sylfaen" w:hAnsi="Sylfaen"/>
          <w:lang w:val="en-US"/>
        </w:rPr>
      </w:pPr>
      <w:r w:rsidRPr="005578B9">
        <w:rPr>
          <w:rFonts w:ascii="Sylfaen" w:hAnsi="Sylfaen"/>
          <w:lang w:val="en-US"/>
        </w:rPr>
        <w:tab/>
      </w:r>
      <w:r w:rsidRPr="005578B9">
        <w:rPr>
          <w:rStyle w:val="FootnoteReference"/>
          <w:rFonts w:ascii="Sylfaen" w:hAnsi="Sylfaen"/>
        </w:rPr>
        <w:footnoteRef/>
      </w:r>
      <w:r w:rsidRPr="005578B9">
        <w:rPr>
          <w:rFonts w:ascii="Sylfaen" w:hAnsi="Sylfaen"/>
          <w:lang w:val="en-US"/>
        </w:rPr>
        <w:tab/>
      </w:r>
      <w:r w:rsidRPr="005578B9">
        <w:rPr>
          <w:rFonts w:ascii="Sylfaen" w:hAnsi="Sylfaen"/>
          <w:lang w:val="ka-GE"/>
        </w:rPr>
        <w:t xml:space="preserve">იუნგელინი შვედეთის წინააღმდეგ, </w:t>
      </w:r>
      <w:r w:rsidRPr="005578B9">
        <w:rPr>
          <w:rFonts w:ascii="Sylfaen" w:hAnsi="Sylfaen"/>
          <w:lang w:val="en-US"/>
        </w:rPr>
        <w:t xml:space="preserve">CRPD/C/12/D/5/2011, </w:t>
      </w:r>
      <w:r w:rsidR="00C86DC5" w:rsidRPr="005578B9">
        <w:rPr>
          <w:rFonts w:ascii="Sylfaen" w:hAnsi="Sylfaen"/>
          <w:lang w:val="ka-GE"/>
        </w:rPr>
        <w:t>პუნქტი</w:t>
      </w:r>
      <w:r w:rsidRPr="005578B9">
        <w:rPr>
          <w:rFonts w:ascii="Sylfaen" w:hAnsi="Sylfaen"/>
          <w:lang w:val="en-US"/>
        </w:rPr>
        <w:t xml:space="preserve"> 10.4.</w:t>
      </w:r>
    </w:p>
  </w:footnote>
  <w:footnote w:id="29">
    <w:p w14:paraId="48FCD807" w14:textId="455D6365" w:rsidR="006F6305" w:rsidRPr="005578B9" w:rsidRDefault="006F6305" w:rsidP="006F6305">
      <w:pPr>
        <w:pStyle w:val="FootnoteText"/>
        <w:rPr>
          <w:rFonts w:ascii="Sylfaen" w:hAnsi="Sylfaen"/>
        </w:rPr>
      </w:pPr>
      <w:r w:rsidRPr="005578B9">
        <w:rPr>
          <w:rFonts w:ascii="Sylfaen" w:hAnsi="Sylfaen"/>
        </w:rPr>
        <w:tab/>
      </w:r>
      <w:r w:rsidRPr="005578B9">
        <w:rPr>
          <w:rStyle w:val="FootnoteReference"/>
          <w:rFonts w:ascii="Sylfaen" w:hAnsi="Sylfaen"/>
        </w:rPr>
        <w:footnoteRef/>
      </w:r>
      <w:r w:rsidRPr="005578B9">
        <w:rPr>
          <w:rFonts w:ascii="Sylfaen" w:hAnsi="Sylfaen"/>
        </w:rPr>
        <w:tab/>
      </w:r>
      <w:r w:rsidR="005578B9" w:rsidRPr="005578B9">
        <w:rPr>
          <w:rFonts w:ascii="Sylfaen" w:hAnsi="Sylfaen"/>
          <w:lang w:val="ka-GE"/>
        </w:rPr>
        <w:t>ზოგადი კომენტარი</w:t>
      </w:r>
      <w:r w:rsidRPr="005578B9">
        <w:rPr>
          <w:rFonts w:ascii="Sylfaen" w:hAnsi="Sylfaen"/>
        </w:rPr>
        <w:t xml:space="preserve"> No. 6 (2018) </w:t>
      </w:r>
      <w:r w:rsidR="005578B9" w:rsidRPr="005578B9">
        <w:rPr>
          <w:rFonts w:ascii="Sylfaen" w:hAnsi="Sylfaen"/>
          <w:lang w:val="ka-GE"/>
        </w:rPr>
        <w:t>თანასწორობისა და დისკრიმინაციის დაუშვებლობის შესახებ, პუნქტი 1</w:t>
      </w:r>
      <w:r w:rsidRPr="005578B9">
        <w:rPr>
          <w:rFonts w:ascii="Sylfaen" w:hAnsi="Sylfaen"/>
        </w:rPr>
        <w:t>2.</w:t>
      </w:r>
    </w:p>
  </w:footnote>
  <w:footnote w:id="30">
    <w:p w14:paraId="39946328" w14:textId="3BBA46AB" w:rsidR="00E62DD6" w:rsidRPr="005578B9" w:rsidRDefault="00E62DD6" w:rsidP="00E62DD6">
      <w:pPr>
        <w:pStyle w:val="FootnoteText"/>
        <w:rPr>
          <w:rFonts w:ascii="Sylfaen" w:hAnsi="Sylfaen"/>
        </w:rPr>
      </w:pPr>
      <w:r w:rsidRPr="005578B9">
        <w:rPr>
          <w:rFonts w:ascii="Sylfaen" w:hAnsi="Sylfaen"/>
          <w:lang w:val="en-US"/>
        </w:rPr>
        <w:tab/>
      </w:r>
      <w:r w:rsidRPr="005578B9">
        <w:rPr>
          <w:rStyle w:val="FootnoteReference"/>
          <w:rFonts w:ascii="Sylfaen" w:hAnsi="Sylfaen"/>
        </w:rPr>
        <w:footnoteRef/>
      </w:r>
      <w:r w:rsidRPr="005578B9">
        <w:rPr>
          <w:rFonts w:ascii="Sylfaen" w:hAnsi="Sylfaen"/>
        </w:rPr>
        <w:tab/>
        <w:t xml:space="preserve">VFC </w:t>
      </w:r>
      <w:r w:rsidR="005578B9" w:rsidRPr="005578B9">
        <w:rPr>
          <w:rFonts w:ascii="Sylfaen" w:hAnsi="Sylfaen"/>
          <w:lang w:val="ka-GE"/>
        </w:rPr>
        <w:t xml:space="preserve">ესპანეთის წინააღმდეგ, </w:t>
      </w:r>
      <w:r w:rsidRPr="005578B9">
        <w:rPr>
          <w:rFonts w:ascii="Sylfaen" w:hAnsi="Sylfaen"/>
        </w:rPr>
        <w:t xml:space="preserve">CRPD/C/21/D/34/2015, </w:t>
      </w:r>
      <w:r w:rsidR="005578B9" w:rsidRPr="005578B9">
        <w:rPr>
          <w:rFonts w:ascii="Sylfaen" w:hAnsi="Sylfaen"/>
          <w:lang w:val="ka-GE"/>
        </w:rPr>
        <w:t>პუნქტი</w:t>
      </w:r>
      <w:r w:rsidRPr="005578B9">
        <w:rPr>
          <w:rFonts w:ascii="Sylfaen" w:hAnsi="Sylfaen"/>
        </w:rPr>
        <w:t xml:space="preserve"> 8.4.</w:t>
      </w:r>
    </w:p>
  </w:footnote>
  <w:footnote w:id="31">
    <w:p w14:paraId="44CAAE95" w14:textId="4157E258" w:rsidR="00243905" w:rsidRPr="005578B9" w:rsidRDefault="00243905" w:rsidP="00243905">
      <w:pPr>
        <w:pStyle w:val="FootnoteText"/>
        <w:rPr>
          <w:rFonts w:ascii="Sylfaen" w:hAnsi="Sylfaen"/>
        </w:rPr>
      </w:pPr>
      <w:r w:rsidRPr="005578B9">
        <w:rPr>
          <w:rFonts w:ascii="Sylfaen" w:hAnsi="Sylfaen"/>
        </w:rPr>
        <w:tab/>
      </w:r>
      <w:r w:rsidRPr="005578B9">
        <w:rPr>
          <w:rStyle w:val="FootnoteReference"/>
          <w:rFonts w:ascii="Sylfaen" w:hAnsi="Sylfaen"/>
        </w:rPr>
        <w:footnoteRef/>
      </w:r>
      <w:r w:rsidRPr="005578B9">
        <w:rPr>
          <w:rFonts w:ascii="Sylfaen" w:hAnsi="Sylfaen"/>
        </w:rPr>
        <w:tab/>
      </w:r>
      <w:r w:rsidR="005578B9" w:rsidRPr="005578B9">
        <w:rPr>
          <w:rFonts w:ascii="Sylfaen" w:hAnsi="Sylfaen"/>
          <w:lang w:val="ka-GE"/>
        </w:rPr>
        <w:t xml:space="preserve">ზოგადი კომენტარი </w:t>
      </w:r>
      <w:r w:rsidRPr="005578B9">
        <w:rPr>
          <w:rFonts w:ascii="Sylfaen" w:hAnsi="Sylfaen"/>
        </w:rPr>
        <w:t xml:space="preserve">No. 6 (2018), </w:t>
      </w:r>
      <w:r w:rsidR="005578B9" w:rsidRPr="005578B9">
        <w:rPr>
          <w:rFonts w:ascii="Sylfaen" w:hAnsi="Sylfaen"/>
          <w:lang w:val="ka-GE"/>
        </w:rPr>
        <w:t xml:space="preserve">თანასწორობისა და დისკრიმინაციის დაუშვებლობის შესახებ, პუნქტები </w:t>
      </w:r>
      <w:r w:rsidRPr="005578B9">
        <w:rPr>
          <w:rFonts w:ascii="Sylfaen" w:hAnsi="Sylfaen"/>
        </w:rPr>
        <w:t xml:space="preserve">26 (a) </w:t>
      </w:r>
      <w:r w:rsidR="005578B9" w:rsidRPr="005578B9">
        <w:rPr>
          <w:rFonts w:ascii="Sylfaen" w:hAnsi="Sylfaen"/>
          <w:lang w:val="ka-GE"/>
        </w:rPr>
        <w:t>და</w:t>
      </w:r>
      <w:r w:rsidRPr="005578B9">
        <w:rPr>
          <w:rFonts w:ascii="Sylfaen" w:hAnsi="Sylfaen"/>
        </w:rPr>
        <w:t xml:space="preserve"> 67 (h).</w:t>
      </w:r>
    </w:p>
  </w:footnote>
  <w:footnote w:id="32">
    <w:p w14:paraId="5699B95A" w14:textId="453F7A0B" w:rsidR="00E70906" w:rsidRPr="000F3911" w:rsidRDefault="00E70906" w:rsidP="00E70906">
      <w:pPr>
        <w:pStyle w:val="FootnoteText"/>
      </w:pPr>
      <w:r w:rsidRPr="005578B9">
        <w:rPr>
          <w:rFonts w:ascii="Sylfaen" w:hAnsi="Sylfaen"/>
        </w:rPr>
        <w:tab/>
      </w:r>
      <w:r w:rsidRPr="005578B9">
        <w:rPr>
          <w:rStyle w:val="FootnoteReference"/>
          <w:rFonts w:ascii="Sylfaen" w:hAnsi="Sylfaen"/>
        </w:rPr>
        <w:footnoteRef/>
      </w:r>
      <w:r w:rsidRPr="005578B9">
        <w:rPr>
          <w:rFonts w:ascii="Sylfaen" w:hAnsi="Sylfaen"/>
        </w:rPr>
        <w:tab/>
      </w:r>
      <w:r w:rsidR="005578B9" w:rsidRPr="005578B9">
        <w:rPr>
          <w:rFonts w:ascii="Sylfaen" w:hAnsi="Sylfaen"/>
          <w:lang w:val="ka-GE"/>
        </w:rPr>
        <w:t xml:space="preserve">იუნგელინი შვედეთის წინააღმდეგ, </w:t>
      </w:r>
      <w:r w:rsidR="005578B9" w:rsidRPr="005578B9">
        <w:rPr>
          <w:rFonts w:ascii="Sylfaen" w:hAnsi="Sylfaen"/>
          <w:lang w:val="en-US"/>
        </w:rPr>
        <w:t xml:space="preserve">CRPD/C/12/D/5/2011, </w:t>
      </w:r>
      <w:r w:rsidR="005578B9" w:rsidRPr="005578B9">
        <w:rPr>
          <w:rFonts w:ascii="Sylfaen" w:hAnsi="Sylfaen"/>
          <w:lang w:val="ka-GE"/>
        </w:rPr>
        <w:t>პუნქტი</w:t>
      </w:r>
      <w:r w:rsidRPr="005578B9">
        <w:rPr>
          <w:rFonts w:ascii="Sylfaen" w:hAnsi="Sylfaen"/>
        </w:rPr>
        <w:t xml:space="preserve"> 10.5.</w:t>
      </w:r>
    </w:p>
  </w:footnote>
  <w:footnote w:id="33">
    <w:p w14:paraId="1EA257DD" w14:textId="77777777" w:rsidR="00A359A6" w:rsidRPr="00197F14" w:rsidRDefault="00A359A6" w:rsidP="00A359A6">
      <w:pPr>
        <w:pStyle w:val="FootnoteText"/>
        <w:rPr>
          <w:rFonts w:ascii="Sylfaen" w:hAnsi="Sylfaen"/>
        </w:rPr>
      </w:pPr>
      <w:r w:rsidRPr="00197F14">
        <w:rPr>
          <w:rFonts w:ascii="Sylfaen" w:hAnsi="Sylfaen"/>
        </w:rPr>
        <w:tab/>
      </w:r>
      <w:r w:rsidRPr="00197F14">
        <w:rPr>
          <w:rStyle w:val="FootnoteReference"/>
          <w:rFonts w:ascii="Sylfaen" w:hAnsi="Sylfaen"/>
        </w:rPr>
        <w:footnoteRef/>
      </w:r>
      <w:r w:rsidRPr="00197F14">
        <w:rPr>
          <w:rFonts w:ascii="Sylfaen" w:hAnsi="Sylfaen"/>
        </w:rPr>
        <w:tab/>
        <w:t xml:space="preserve">VFC </w:t>
      </w:r>
      <w:r w:rsidRPr="00197F14">
        <w:rPr>
          <w:rFonts w:ascii="Sylfaen" w:hAnsi="Sylfaen"/>
          <w:lang w:val="ka-GE"/>
        </w:rPr>
        <w:t>ესპანეთის წინააღმდეგ</w:t>
      </w:r>
      <w:r w:rsidRPr="00197F14">
        <w:rPr>
          <w:rFonts w:ascii="Sylfaen" w:hAnsi="Sylfaen"/>
        </w:rPr>
        <w:t xml:space="preserve">, CRPD/C/21/D/34/2015, </w:t>
      </w:r>
      <w:r w:rsidRPr="00197F14">
        <w:rPr>
          <w:rFonts w:ascii="Sylfaen" w:hAnsi="Sylfaen"/>
          <w:lang w:val="ka-GE"/>
        </w:rPr>
        <w:t xml:space="preserve">პუნქტი </w:t>
      </w:r>
      <w:r w:rsidRPr="00197F14">
        <w:rPr>
          <w:rFonts w:ascii="Sylfaen" w:hAnsi="Sylfaen"/>
        </w:rPr>
        <w:t>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8DCA" w14:textId="191D64BA" w:rsidR="00537E66" w:rsidRPr="003C0C75" w:rsidRDefault="00F0037F" w:rsidP="00F0037F">
    <w:pPr>
      <w:pStyle w:val="Header"/>
      <w:rPr>
        <w:rFonts w:ascii="Sylfaen" w:hAnsi="Sylfaen"/>
        <w:lang w:val="ka-GE"/>
      </w:rPr>
    </w:pPr>
    <w:r w:rsidRPr="00F0037F">
      <w:t>CRPD/C/23/D/45/2018</w:t>
    </w:r>
    <w:r w:rsidR="008C2255">
      <w:t xml:space="preserve"> </w:t>
    </w:r>
    <w:r w:rsidR="003C0C75" w:rsidRPr="000A2962">
      <w:rPr>
        <w:rFonts w:ascii="Sylfaen" w:hAnsi="Sylfaen"/>
        <w:lang w:val="ka-GE"/>
      </w:rPr>
      <w:t>საბოლოო დაურედაქტირებელი</w:t>
    </w:r>
    <w:r w:rsidR="003C0C75">
      <w:rPr>
        <w:rFonts w:ascii="Sylfaen" w:hAnsi="Sylfaen"/>
        <w:lang w:val="ka-GE"/>
      </w:rPr>
      <w:t xml:space="preserve"> ვერსია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7FC7" w14:textId="298446B4" w:rsidR="00537E66" w:rsidRPr="00F0037F" w:rsidRDefault="00FE551A" w:rsidP="00F0037F">
    <w:pPr>
      <w:pStyle w:val="Header"/>
      <w:jc w:val="right"/>
    </w:pPr>
    <w:r w:rsidRPr="000A2962">
      <w:rPr>
        <w:rFonts w:ascii="Sylfaen" w:hAnsi="Sylfaen"/>
        <w:lang w:val="ka-GE"/>
      </w:rPr>
      <w:t>საბოლოო</w:t>
    </w:r>
    <w:r>
      <w:rPr>
        <w:rFonts w:ascii="Sylfaen" w:hAnsi="Sylfaen"/>
        <w:lang w:val="ka-GE"/>
      </w:rPr>
      <w:t xml:space="preserve"> დაურედაქტირებელი ვერსია</w:t>
    </w:r>
    <w:r>
      <w:rPr>
        <w:rFonts w:ascii="Sylfaen" w:hAnsi="Sylfaen"/>
        <w:lang w:val="en-US"/>
      </w:rPr>
      <w:t xml:space="preserve"> </w:t>
    </w:r>
    <w:r w:rsidR="00F0037F" w:rsidRPr="00F0037F">
      <w:t>CRPD/</w:t>
    </w:r>
    <w:r w:rsidR="00F0037F" w:rsidRPr="00D82FD3">
      <w:t>C/23/D</w:t>
    </w:r>
    <w:r w:rsidR="00F0037F" w:rsidRPr="00F0037F">
      <w:t>/45/2018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8288793">
    <w:abstractNumId w:val="1"/>
  </w:num>
  <w:num w:numId="2" w16cid:durableId="702636804">
    <w:abstractNumId w:val="0"/>
  </w:num>
  <w:num w:numId="3" w16cid:durableId="687949317">
    <w:abstractNumId w:val="2"/>
  </w:num>
  <w:num w:numId="4" w16cid:durableId="868028348">
    <w:abstractNumId w:val="3"/>
  </w:num>
  <w:num w:numId="5" w16cid:durableId="362750781">
    <w:abstractNumId w:val="8"/>
  </w:num>
  <w:num w:numId="6" w16cid:durableId="318114669">
    <w:abstractNumId w:val="9"/>
  </w:num>
  <w:num w:numId="7" w16cid:durableId="1298335446">
    <w:abstractNumId w:val="7"/>
  </w:num>
  <w:num w:numId="8" w16cid:durableId="537396753">
    <w:abstractNumId w:val="6"/>
  </w:num>
  <w:num w:numId="9" w16cid:durableId="633219975">
    <w:abstractNumId w:val="5"/>
  </w:num>
  <w:num w:numId="10" w16cid:durableId="1076394661">
    <w:abstractNumId w:val="4"/>
  </w:num>
  <w:num w:numId="11" w16cid:durableId="792331723">
    <w:abstractNumId w:val="14"/>
  </w:num>
  <w:num w:numId="12" w16cid:durableId="442842723">
    <w:abstractNumId w:val="13"/>
  </w:num>
  <w:num w:numId="13" w16cid:durableId="1951428115">
    <w:abstractNumId w:val="10"/>
  </w:num>
  <w:num w:numId="14" w16cid:durableId="1648238316">
    <w:abstractNumId w:val="15"/>
  </w:num>
  <w:num w:numId="15" w16cid:durableId="1881624747">
    <w:abstractNumId w:val="12"/>
  </w:num>
  <w:num w:numId="16" w16cid:durableId="154186704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C" w:vendorID="64" w:dllVersion="6" w:nlCheck="1" w:checkStyle="0"/>
  <w:activeWritingStyle w:appName="MSWord" w:lang="es-ES" w:vendorID="64" w:dllVersion="6"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D7C"/>
    <w:rsid w:val="0000649A"/>
    <w:rsid w:val="00012EC1"/>
    <w:rsid w:val="0002566F"/>
    <w:rsid w:val="00027918"/>
    <w:rsid w:val="00031E59"/>
    <w:rsid w:val="0003239D"/>
    <w:rsid w:val="00032539"/>
    <w:rsid w:val="00042220"/>
    <w:rsid w:val="00066682"/>
    <w:rsid w:val="000728DB"/>
    <w:rsid w:val="000743DA"/>
    <w:rsid w:val="00082030"/>
    <w:rsid w:val="000A18AB"/>
    <w:rsid w:val="000A2962"/>
    <w:rsid w:val="000C44A9"/>
    <w:rsid w:val="000D3F75"/>
    <w:rsid w:val="000E289F"/>
    <w:rsid w:val="000E59B2"/>
    <w:rsid w:val="000F3781"/>
    <w:rsid w:val="00103E51"/>
    <w:rsid w:val="00110161"/>
    <w:rsid w:val="001152CA"/>
    <w:rsid w:val="00133512"/>
    <w:rsid w:val="00136AEA"/>
    <w:rsid w:val="00140061"/>
    <w:rsid w:val="001439A2"/>
    <w:rsid w:val="00183B2E"/>
    <w:rsid w:val="00184E7D"/>
    <w:rsid w:val="00185FAB"/>
    <w:rsid w:val="00197F14"/>
    <w:rsid w:val="001A56B9"/>
    <w:rsid w:val="001A7ED7"/>
    <w:rsid w:val="001B6EC2"/>
    <w:rsid w:val="001C09B7"/>
    <w:rsid w:val="001E021D"/>
    <w:rsid w:val="001E4CB4"/>
    <w:rsid w:val="001E7EE1"/>
    <w:rsid w:val="002003F5"/>
    <w:rsid w:val="00203A6F"/>
    <w:rsid w:val="00211803"/>
    <w:rsid w:val="00225871"/>
    <w:rsid w:val="00226359"/>
    <w:rsid w:val="0023157B"/>
    <w:rsid w:val="0023194D"/>
    <w:rsid w:val="00234AFE"/>
    <w:rsid w:val="00241E52"/>
    <w:rsid w:val="00243905"/>
    <w:rsid w:val="00246CD1"/>
    <w:rsid w:val="00251426"/>
    <w:rsid w:val="00270E49"/>
    <w:rsid w:val="00273E0E"/>
    <w:rsid w:val="002758FA"/>
    <w:rsid w:val="00276206"/>
    <w:rsid w:val="002A3207"/>
    <w:rsid w:val="002A78E3"/>
    <w:rsid w:val="002B4864"/>
    <w:rsid w:val="002B7B6F"/>
    <w:rsid w:val="002D48C4"/>
    <w:rsid w:val="002E063A"/>
    <w:rsid w:val="002E2E41"/>
    <w:rsid w:val="002F423C"/>
    <w:rsid w:val="002F7A66"/>
    <w:rsid w:val="0031153E"/>
    <w:rsid w:val="00335B79"/>
    <w:rsid w:val="00341600"/>
    <w:rsid w:val="00342833"/>
    <w:rsid w:val="00343C67"/>
    <w:rsid w:val="00344EF5"/>
    <w:rsid w:val="00354013"/>
    <w:rsid w:val="003547DD"/>
    <w:rsid w:val="00354C3C"/>
    <w:rsid w:val="00354CE9"/>
    <w:rsid w:val="00356B25"/>
    <w:rsid w:val="003576E8"/>
    <w:rsid w:val="00362F13"/>
    <w:rsid w:val="003718A2"/>
    <w:rsid w:val="00375458"/>
    <w:rsid w:val="00392CFC"/>
    <w:rsid w:val="00393D63"/>
    <w:rsid w:val="0039761A"/>
    <w:rsid w:val="003A5534"/>
    <w:rsid w:val="003B2600"/>
    <w:rsid w:val="003C0C75"/>
    <w:rsid w:val="003E36AA"/>
    <w:rsid w:val="003F3FC6"/>
    <w:rsid w:val="003F4D45"/>
    <w:rsid w:val="00403DC1"/>
    <w:rsid w:val="004119B0"/>
    <w:rsid w:val="00417124"/>
    <w:rsid w:val="00420826"/>
    <w:rsid w:val="004253C6"/>
    <w:rsid w:val="00425A26"/>
    <w:rsid w:val="00427304"/>
    <w:rsid w:val="00427835"/>
    <w:rsid w:val="004376A3"/>
    <w:rsid w:val="00440EF1"/>
    <w:rsid w:val="00450FD9"/>
    <w:rsid w:val="00451BA1"/>
    <w:rsid w:val="004559C6"/>
    <w:rsid w:val="00466979"/>
    <w:rsid w:val="004812AE"/>
    <w:rsid w:val="00482AF8"/>
    <w:rsid w:val="004B64D2"/>
    <w:rsid w:val="004C06CC"/>
    <w:rsid w:val="004C2F77"/>
    <w:rsid w:val="004C65BF"/>
    <w:rsid w:val="004C7EA7"/>
    <w:rsid w:val="004D41E8"/>
    <w:rsid w:val="004D547B"/>
    <w:rsid w:val="004D571D"/>
    <w:rsid w:val="004D6CF5"/>
    <w:rsid w:val="004E396A"/>
    <w:rsid w:val="004F20B1"/>
    <w:rsid w:val="004F4B74"/>
    <w:rsid w:val="004F5B1A"/>
    <w:rsid w:val="005022BF"/>
    <w:rsid w:val="00506A38"/>
    <w:rsid w:val="0051218C"/>
    <w:rsid w:val="00515674"/>
    <w:rsid w:val="00515DE8"/>
    <w:rsid w:val="00522DFE"/>
    <w:rsid w:val="00530FC1"/>
    <w:rsid w:val="00531598"/>
    <w:rsid w:val="005330A7"/>
    <w:rsid w:val="00534BFB"/>
    <w:rsid w:val="00537E66"/>
    <w:rsid w:val="00555424"/>
    <w:rsid w:val="00555D94"/>
    <w:rsid w:val="005578B9"/>
    <w:rsid w:val="00561C5D"/>
    <w:rsid w:val="00563222"/>
    <w:rsid w:val="00567B54"/>
    <w:rsid w:val="00573259"/>
    <w:rsid w:val="00574820"/>
    <w:rsid w:val="00586285"/>
    <w:rsid w:val="00597136"/>
    <w:rsid w:val="005A0EE0"/>
    <w:rsid w:val="005A2933"/>
    <w:rsid w:val="005A783C"/>
    <w:rsid w:val="005B5310"/>
    <w:rsid w:val="005C128E"/>
    <w:rsid w:val="005C5957"/>
    <w:rsid w:val="005C5A1D"/>
    <w:rsid w:val="005D6AF3"/>
    <w:rsid w:val="005E4458"/>
    <w:rsid w:val="005F44C2"/>
    <w:rsid w:val="005F4A5B"/>
    <w:rsid w:val="0060722E"/>
    <w:rsid w:val="00607D7C"/>
    <w:rsid w:val="00614360"/>
    <w:rsid w:val="00643A41"/>
    <w:rsid w:val="006452E7"/>
    <w:rsid w:val="0064636A"/>
    <w:rsid w:val="00655FE3"/>
    <w:rsid w:val="00676BB5"/>
    <w:rsid w:val="0068110E"/>
    <w:rsid w:val="00684F21"/>
    <w:rsid w:val="00685507"/>
    <w:rsid w:val="006931FA"/>
    <w:rsid w:val="00695A6E"/>
    <w:rsid w:val="006B4065"/>
    <w:rsid w:val="006C2EE3"/>
    <w:rsid w:val="006D6704"/>
    <w:rsid w:val="006E27DA"/>
    <w:rsid w:val="006E2FE6"/>
    <w:rsid w:val="006F6305"/>
    <w:rsid w:val="006F7566"/>
    <w:rsid w:val="006F7800"/>
    <w:rsid w:val="00702F89"/>
    <w:rsid w:val="00712CA3"/>
    <w:rsid w:val="00714DF3"/>
    <w:rsid w:val="0072658E"/>
    <w:rsid w:val="007314CC"/>
    <w:rsid w:val="0073177F"/>
    <w:rsid w:val="00734243"/>
    <w:rsid w:val="00762FFB"/>
    <w:rsid w:val="00767B72"/>
    <w:rsid w:val="00770989"/>
    <w:rsid w:val="007743BA"/>
    <w:rsid w:val="00777A06"/>
    <w:rsid w:val="00780D00"/>
    <w:rsid w:val="007826A7"/>
    <w:rsid w:val="007847D2"/>
    <w:rsid w:val="00790D63"/>
    <w:rsid w:val="00794D04"/>
    <w:rsid w:val="007A008F"/>
    <w:rsid w:val="007A137F"/>
    <w:rsid w:val="007A2165"/>
    <w:rsid w:val="007A527C"/>
    <w:rsid w:val="007B0B93"/>
    <w:rsid w:val="007B1283"/>
    <w:rsid w:val="007B3424"/>
    <w:rsid w:val="007B7C08"/>
    <w:rsid w:val="007D7236"/>
    <w:rsid w:val="007E08C9"/>
    <w:rsid w:val="007F442E"/>
    <w:rsid w:val="007F5C70"/>
    <w:rsid w:val="007F7703"/>
    <w:rsid w:val="00804C6E"/>
    <w:rsid w:val="00814522"/>
    <w:rsid w:val="00822966"/>
    <w:rsid w:val="0083015A"/>
    <w:rsid w:val="00846B78"/>
    <w:rsid w:val="00854C25"/>
    <w:rsid w:val="008856A2"/>
    <w:rsid w:val="008A217B"/>
    <w:rsid w:val="008B0009"/>
    <w:rsid w:val="008B117B"/>
    <w:rsid w:val="008C140E"/>
    <w:rsid w:val="008C2255"/>
    <w:rsid w:val="008D1A19"/>
    <w:rsid w:val="00900365"/>
    <w:rsid w:val="00907A59"/>
    <w:rsid w:val="00912090"/>
    <w:rsid w:val="00913B5B"/>
    <w:rsid w:val="009370A7"/>
    <w:rsid w:val="00942C71"/>
    <w:rsid w:val="00954286"/>
    <w:rsid w:val="0095571D"/>
    <w:rsid w:val="0096325F"/>
    <w:rsid w:val="00970898"/>
    <w:rsid w:val="009919C4"/>
    <w:rsid w:val="009927F0"/>
    <w:rsid w:val="00994E5A"/>
    <w:rsid w:val="009972BE"/>
    <w:rsid w:val="009C21B8"/>
    <w:rsid w:val="009C618D"/>
    <w:rsid w:val="009C7875"/>
    <w:rsid w:val="009D40BE"/>
    <w:rsid w:val="009F4923"/>
    <w:rsid w:val="00A0140A"/>
    <w:rsid w:val="00A04DC9"/>
    <w:rsid w:val="00A110B4"/>
    <w:rsid w:val="00A2563F"/>
    <w:rsid w:val="00A263E3"/>
    <w:rsid w:val="00A317FD"/>
    <w:rsid w:val="00A359A6"/>
    <w:rsid w:val="00A3630B"/>
    <w:rsid w:val="00A515EA"/>
    <w:rsid w:val="00A535B8"/>
    <w:rsid w:val="00A60C1F"/>
    <w:rsid w:val="00A64F36"/>
    <w:rsid w:val="00A73331"/>
    <w:rsid w:val="00A7552B"/>
    <w:rsid w:val="00A828F6"/>
    <w:rsid w:val="00A91940"/>
    <w:rsid w:val="00A94193"/>
    <w:rsid w:val="00A9683F"/>
    <w:rsid w:val="00AA2E4E"/>
    <w:rsid w:val="00AC70A2"/>
    <w:rsid w:val="00AD5D27"/>
    <w:rsid w:val="00AE00A0"/>
    <w:rsid w:val="00AF0380"/>
    <w:rsid w:val="00AF7378"/>
    <w:rsid w:val="00B07541"/>
    <w:rsid w:val="00B076D3"/>
    <w:rsid w:val="00B117D0"/>
    <w:rsid w:val="00B12F93"/>
    <w:rsid w:val="00B1546C"/>
    <w:rsid w:val="00B36233"/>
    <w:rsid w:val="00B4408E"/>
    <w:rsid w:val="00B5630E"/>
    <w:rsid w:val="00B64EC4"/>
    <w:rsid w:val="00B72A25"/>
    <w:rsid w:val="00B736B4"/>
    <w:rsid w:val="00B838DE"/>
    <w:rsid w:val="00B83B27"/>
    <w:rsid w:val="00BA1F1F"/>
    <w:rsid w:val="00BB35A6"/>
    <w:rsid w:val="00BB55D0"/>
    <w:rsid w:val="00BB6DFC"/>
    <w:rsid w:val="00BC76C4"/>
    <w:rsid w:val="00BD6FFE"/>
    <w:rsid w:val="00C00D42"/>
    <w:rsid w:val="00C017FD"/>
    <w:rsid w:val="00C049B0"/>
    <w:rsid w:val="00C1588A"/>
    <w:rsid w:val="00C17B75"/>
    <w:rsid w:val="00C17CA3"/>
    <w:rsid w:val="00C25929"/>
    <w:rsid w:val="00C274E8"/>
    <w:rsid w:val="00C3773D"/>
    <w:rsid w:val="00C4140B"/>
    <w:rsid w:val="00C505B2"/>
    <w:rsid w:val="00C514F4"/>
    <w:rsid w:val="00C539AF"/>
    <w:rsid w:val="00C60494"/>
    <w:rsid w:val="00C723DA"/>
    <w:rsid w:val="00C76F98"/>
    <w:rsid w:val="00C86AE9"/>
    <w:rsid w:val="00C86DC5"/>
    <w:rsid w:val="00C939F6"/>
    <w:rsid w:val="00C96032"/>
    <w:rsid w:val="00CA3A5F"/>
    <w:rsid w:val="00CB0A7A"/>
    <w:rsid w:val="00CC1A54"/>
    <w:rsid w:val="00CD587C"/>
    <w:rsid w:val="00CE317B"/>
    <w:rsid w:val="00CE57B3"/>
    <w:rsid w:val="00CE5826"/>
    <w:rsid w:val="00CF56E5"/>
    <w:rsid w:val="00D0488A"/>
    <w:rsid w:val="00D04A31"/>
    <w:rsid w:val="00D10883"/>
    <w:rsid w:val="00D339A6"/>
    <w:rsid w:val="00D34111"/>
    <w:rsid w:val="00D35C08"/>
    <w:rsid w:val="00D40E98"/>
    <w:rsid w:val="00D5543E"/>
    <w:rsid w:val="00D55DB6"/>
    <w:rsid w:val="00D562C4"/>
    <w:rsid w:val="00D568BC"/>
    <w:rsid w:val="00D57746"/>
    <w:rsid w:val="00D65F0C"/>
    <w:rsid w:val="00D7359E"/>
    <w:rsid w:val="00D73E7A"/>
    <w:rsid w:val="00D82FD3"/>
    <w:rsid w:val="00D83B95"/>
    <w:rsid w:val="00D95B62"/>
    <w:rsid w:val="00D9638F"/>
    <w:rsid w:val="00D979D6"/>
    <w:rsid w:val="00DB1AE7"/>
    <w:rsid w:val="00DC0E2B"/>
    <w:rsid w:val="00DC3918"/>
    <w:rsid w:val="00DC4303"/>
    <w:rsid w:val="00DC4D97"/>
    <w:rsid w:val="00DE3B68"/>
    <w:rsid w:val="00DE430B"/>
    <w:rsid w:val="00E031CB"/>
    <w:rsid w:val="00E21DBA"/>
    <w:rsid w:val="00E3145A"/>
    <w:rsid w:val="00E34762"/>
    <w:rsid w:val="00E45D22"/>
    <w:rsid w:val="00E465C4"/>
    <w:rsid w:val="00E503DC"/>
    <w:rsid w:val="00E51438"/>
    <w:rsid w:val="00E542F9"/>
    <w:rsid w:val="00E62DD6"/>
    <w:rsid w:val="00E645A0"/>
    <w:rsid w:val="00E67DD6"/>
    <w:rsid w:val="00E70906"/>
    <w:rsid w:val="00E7487E"/>
    <w:rsid w:val="00E80132"/>
    <w:rsid w:val="00E8302C"/>
    <w:rsid w:val="00E83B71"/>
    <w:rsid w:val="00E92BC6"/>
    <w:rsid w:val="00EA0BA9"/>
    <w:rsid w:val="00EB2EAA"/>
    <w:rsid w:val="00EC1009"/>
    <w:rsid w:val="00EC1376"/>
    <w:rsid w:val="00EC7088"/>
    <w:rsid w:val="00ED2FF7"/>
    <w:rsid w:val="00ED6DDE"/>
    <w:rsid w:val="00ED6FCA"/>
    <w:rsid w:val="00EE453A"/>
    <w:rsid w:val="00EF4BA3"/>
    <w:rsid w:val="00F0037F"/>
    <w:rsid w:val="00F15A5F"/>
    <w:rsid w:val="00F25F06"/>
    <w:rsid w:val="00F367FF"/>
    <w:rsid w:val="00F373FD"/>
    <w:rsid w:val="00F413B4"/>
    <w:rsid w:val="00F4489F"/>
    <w:rsid w:val="00F50255"/>
    <w:rsid w:val="00F51D1E"/>
    <w:rsid w:val="00F75F74"/>
    <w:rsid w:val="00F87DE0"/>
    <w:rsid w:val="00F930DD"/>
    <w:rsid w:val="00F9404E"/>
    <w:rsid w:val="00FA09FE"/>
    <w:rsid w:val="00FA199E"/>
    <w:rsid w:val="00FA4C81"/>
    <w:rsid w:val="00FB12E5"/>
    <w:rsid w:val="00FB7174"/>
    <w:rsid w:val="00FC6E31"/>
    <w:rsid w:val="00FD26CD"/>
    <w:rsid w:val="00FE031E"/>
    <w:rsid w:val="00FE0787"/>
    <w:rsid w:val="00FE223D"/>
    <w:rsid w:val="00FE4210"/>
    <w:rsid w:val="00FE551A"/>
    <w:rsid w:val="00FF2E52"/>
    <w:rsid w:val="00FF5EB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0A7CE"/>
  <w15:docId w15:val="{2C1CD60D-713D-474F-AFA6-2FFDA0A3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Pr>
      <w:rFonts w:ascii="Times New Roman" w:hAnsi="Times New Roman"/>
      <w:sz w:val="18"/>
      <w:vertAlign w:val="superscript"/>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Footnote reference"/>
    <w:basedOn w:val="Normal"/>
    <w:link w:val="FootnoteTextChar"/>
    <w:qFormat/>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link w:val="EndnoteTextChar"/>
  </w:style>
  <w:style w:type="character" w:styleId="CommentReference">
    <w:name w:val="annotation reference"/>
    <w:uiPriority w:val="99"/>
    <w:semiHidden/>
    <w:rPr>
      <w:sz w:val="6"/>
    </w:rPr>
  </w:style>
  <w:style w:type="paragraph" w:styleId="CommentText">
    <w:name w:val="annotation text"/>
    <w:basedOn w:val="Normal"/>
    <w:link w:val="CommentTextChar1"/>
    <w:uiPriority w:val="99"/>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paragraph" w:styleId="Header">
    <w:name w:val="header"/>
    <w:aliases w:val="6_G"/>
    <w:basedOn w:val="Normal"/>
    <w:link w:val="HeaderChar"/>
    <w:pPr>
      <w:pBdr>
        <w:bottom w:val="single" w:sz="4" w:space="4" w:color="auto"/>
      </w:pBdr>
      <w:spacing w:line="240" w:lineRule="auto"/>
    </w:pPr>
    <w:rPr>
      <w:b/>
      <w:sz w:val="18"/>
    </w:rPr>
  </w:style>
  <w:style w:type="paragraph" w:styleId="BalloonText">
    <w:name w:val="Balloon Text"/>
    <w:basedOn w:val="Normal"/>
    <w:link w:val="BalloonTextChar"/>
    <w:uiPriority w:val="99"/>
    <w:rsid w:val="007A52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A527C"/>
    <w:rPr>
      <w:rFonts w:ascii="Tahoma" w:hAnsi="Tahoma" w:cs="Tahoma"/>
      <w:sz w:val="16"/>
      <w:szCs w:val="16"/>
      <w:lang w:val="en-GB" w:eastAsia="en-US"/>
    </w:rPr>
  </w:style>
  <w:style w:type="character" w:customStyle="1" w:styleId="HeaderChar">
    <w:name w:val="Header Char"/>
    <w:aliases w:val="6_G Char"/>
    <w:basedOn w:val="DefaultParagraphFont"/>
    <w:link w:val="Header"/>
    <w:rsid w:val="00F0037F"/>
    <w:rPr>
      <w:b/>
      <w:sz w:val="18"/>
      <w:lang w:val="en-GB" w:eastAsia="en-US"/>
    </w:rPr>
  </w:style>
  <w:style w:type="character" w:customStyle="1" w:styleId="FooterChar">
    <w:name w:val="Footer Char"/>
    <w:aliases w:val="3_G Char"/>
    <w:basedOn w:val="DefaultParagraphFont"/>
    <w:link w:val="Footer"/>
    <w:rsid w:val="00F0037F"/>
    <w:rPr>
      <w:sz w:val="16"/>
      <w:lang w:val="en-GB" w:eastAsia="en-US"/>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rsid w:val="00F0037F"/>
    <w:rPr>
      <w:sz w:val="18"/>
      <w:lang w:val="en-GB" w:eastAsia="en-US"/>
    </w:rPr>
  </w:style>
  <w:style w:type="character" w:customStyle="1" w:styleId="EndnoteTextChar">
    <w:name w:val="Endnote Text Char"/>
    <w:aliases w:val="2_G Char"/>
    <w:basedOn w:val="DefaultParagraphFont"/>
    <w:link w:val="EndnoteText"/>
    <w:rsid w:val="00F0037F"/>
    <w:rPr>
      <w:sz w:val="18"/>
      <w:lang w:val="en-GB" w:eastAsia="en-US"/>
    </w:rPr>
  </w:style>
  <w:style w:type="character" w:customStyle="1" w:styleId="Heading1Char">
    <w:name w:val="Heading 1 Char"/>
    <w:aliases w:val="Table_G Char"/>
    <w:basedOn w:val="DefaultParagraphFont"/>
    <w:link w:val="Heading1"/>
    <w:rsid w:val="00F0037F"/>
    <w:rPr>
      <w:lang w:val="en-GB" w:eastAsia="en-US"/>
    </w:rPr>
  </w:style>
  <w:style w:type="character" w:customStyle="1" w:styleId="Heading2Char">
    <w:name w:val="Heading 2 Char"/>
    <w:basedOn w:val="DefaultParagraphFont"/>
    <w:link w:val="Heading2"/>
    <w:rsid w:val="00F0037F"/>
    <w:rPr>
      <w:lang w:val="en-GB" w:eastAsia="en-US"/>
    </w:rPr>
  </w:style>
  <w:style w:type="character" w:customStyle="1" w:styleId="Heading3Char">
    <w:name w:val="Heading 3 Char"/>
    <w:basedOn w:val="DefaultParagraphFont"/>
    <w:link w:val="Heading3"/>
    <w:rsid w:val="00F0037F"/>
    <w:rPr>
      <w:lang w:val="en-GB" w:eastAsia="en-US"/>
    </w:rPr>
  </w:style>
  <w:style w:type="character" w:customStyle="1" w:styleId="Heading4Char">
    <w:name w:val="Heading 4 Char"/>
    <w:basedOn w:val="DefaultParagraphFont"/>
    <w:link w:val="Heading4"/>
    <w:rsid w:val="00F0037F"/>
    <w:rPr>
      <w:lang w:val="en-GB" w:eastAsia="en-US"/>
    </w:rPr>
  </w:style>
  <w:style w:type="character" w:customStyle="1" w:styleId="Heading5Char">
    <w:name w:val="Heading 5 Char"/>
    <w:basedOn w:val="DefaultParagraphFont"/>
    <w:link w:val="Heading5"/>
    <w:rsid w:val="00F0037F"/>
    <w:rPr>
      <w:lang w:val="en-GB" w:eastAsia="en-US"/>
    </w:rPr>
  </w:style>
  <w:style w:type="character" w:customStyle="1" w:styleId="Heading6Char">
    <w:name w:val="Heading 6 Char"/>
    <w:basedOn w:val="DefaultParagraphFont"/>
    <w:link w:val="Heading6"/>
    <w:rsid w:val="00F0037F"/>
    <w:rPr>
      <w:lang w:val="en-GB" w:eastAsia="en-US"/>
    </w:rPr>
  </w:style>
  <w:style w:type="character" w:customStyle="1" w:styleId="Heading7Char">
    <w:name w:val="Heading 7 Char"/>
    <w:basedOn w:val="DefaultParagraphFont"/>
    <w:link w:val="Heading7"/>
    <w:rsid w:val="00F0037F"/>
    <w:rPr>
      <w:lang w:val="en-GB" w:eastAsia="en-US"/>
    </w:rPr>
  </w:style>
  <w:style w:type="character" w:customStyle="1" w:styleId="Heading8Char">
    <w:name w:val="Heading 8 Char"/>
    <w:basedOn w:val="DefaultParagraphFont"/>
    <w:link w:val="Heading8"/>
    <w:rsid w:val="00F0037F"/>
    <w:rPr>
      <w:lang w:val="en-GB" w:eastAsia="en-US"/>
    </w:rPr>
  </w:style>
  <w:style w:type="character" w:customStyle="1" w:styleId="Heading9Char">
    <w:name w:val="Heading 9 Char"/>
    <w:basedOn w:val="DefaultParagraphFont"/>
    <w:link w:val="Heading9"/>
    <w:rsid w:val="00F0037F"/>
    <w:rPr>
      <w:lang w:val="en-GB" w:eastAsia="en-US"/>
    </w:rPr>
  </w:style>
  <w:style w:type="character" w:styleId="BookTitle">
    <w:name w:val="Book Title"/>
    <w:basedOn w:val="DefaultParagraphFont"/>
    <w:uiPriority w:val="33"/>
    <w:rsid w:val="00F0037F"/>
    <w:rPr>
      <w:b/>
      <w:bCs/>
      <w:smallCaps/>
      <w:spacing w:val="5"/>
    </w:rPr>
  </w:style>
  <w:style w:type="character" w:customStyle="1" w:styleId="SingleTxtGChar">
    <w:name w:val="_ Single Txt_G Char"/>
    <w:basedOn w:val="DefaultParagraphFont"/>
    <w:link w:val="SingleTxtG"/>
    <w:rsid w:val="00F0037F"/>
    <w:rPr>
      <w:lang w:val="en-GB" w:eastAsia="en-US"/>
    </w:rPr>
  </w:style>
  <w:style w:type="paragraph" w:styleId="Revision">
    <w:name w:val="Revision"/>
    <w:hidden/>
    <w:uiPriority w:val="99"/>
    <w:semiHidden/>
    <w:rsid w:val="00F0037F"/>
    <w:rPr>
      <w:rFonts w:asciiTheme="minorHAnsi" w:eastAsiaTheme="minorHAnsi" w:hAnsiTheme="minorHAnsi" w:cstheme="minorBidi"/>
      <w:sz w:val="22"/>
      <w:szCs w:val="22"/>
      <w:lang w:val="en-GB" w:eastAsia="en-US"/>
    </w:rPr>
  </w:style>
  <w:style w:type="character" w:customStyle="1" w:styleId="CommentTextChar">
    <w:name w:val="Comment Text Char"/>
    <w:basedOn w:val="DefaultParagraphFont"/>
    <w:uiPriority w:val="99"/>
    <w:semiHidden/>
    <w:rsid w:val="00F0037F"/>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0037F"/>
    <w:pPr>
      <w:spacing w:line="240" w:lineRule="auto"/>
    </w:pPr>
    <w:rPr>
      <w:rFonts w:eastAsia="SimSun"/>
      <w:b/>
      <w:bCs/>
    </w:rPr>
  </w:style>
  <w:style w:type="character" w:customStyle="1" w:styleId="CommentTextChar1">
    <w:name w:val="Comment Text Char1"/>
    <w:basedOn w:val="DefaultParagraphFont"/>
    <w:link w:val="CommentText"/>
    <w:uiPriority w:val="99"/>
    <w:semiHidden/>
    <w:rsid w:val="00F0037F"/>
    <w:rPr>
      <w:lang w:val="en-GB" w:eastAsia="en-US"/>
    </w:rPr>
  </w:style>
  <w:style w:type="character" w:customStyle="1" w:styleId="CommentSubjectChar">
    <w:name w:val="Comment Subject Char"/>
    <w:basedOn w:val="CommentTextChar1"/>
    <w:link w:val="CommentSubject"/>
    <w:uiPriority w:val="99"/>
    <w:semiHidden/>
    <w:rsid w:val="00F0037F"/>
    <w:rPr>
      <w:rFonts w:eastAsia="SimSun"/>
      <w:b/>
      <w:bCs/>
      <w:lang w:val="en-GB" w:eastAsia="en-US"/>
    </w:rPr>
  </w:style>
  <w:style w:type="paragraph" w:customStyle="1" w:styleId="Default">
    <w:name w:val="Default"/>
    <w:rsid w:val="00F0037F"/>
    <w:pPr>
      <w:autoSpaceDE w:val="0"/>
      <w:autoSpaceDN w:val="0"/>
      <w:adjustRightInd w:val="0"/>
    </w:pPr>
    <w:rPr>
      <w:rFonts w:ascii="Garamond" w:eastAsia="SimSun" w:hAnsi="Garamond" w:cs="Garamond"/>
      <w:color w:val="000000"/>
      <w:sz w:val="24"/>
      <w:szCs w:val="24"/>
      <w:lang w:val="en-GB" w:eastAsia="zh-CN"/>
    </w:rPr>
  </w:style>
  <w:style w:type="character" w:styleId="UnresolvedMention">
    <w:name w:val="Unresolved Mention"/>
    <w:basedOn w:val="DefaultParagraphFont"/>
    <w:uiPriority w:val="99"/>
    <w:semiHidden/>
    <w:unhideWhenUsed/>
    <w:rsid w:val="00B83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2024">
      <w:bodyDiv w:val="1"/>
      <w:marLeft w:val="0"/>
      <w:marRight w:val="0"/>
      <w:marTop w:val="0"/>
      <w:marBottom w:val="0"/>
      <w:divBdr>
        <w:top w:val="none" w:sz="0" w:space="0" w:color="auto"/>
        <w:left w:val="none" w:sz="0" w:space="0" w:color="auto"/>
        <w:bottom w:val="none" w:sz="0" w:space="0" w:color="auto"/>
        <w:right w:val="none" w:sz="0" w:space="0" w:color="auto"/>
      </w:divBdr>
    </w:div>
    <w:div w:id="136922181">
      <w:bodyDiv w:val="1"/>
      <w:marLeft w:val="0"/>
      <w:marRight w:val="0"/>
      <w:marTop w:val="0"/>
      <w:marBottom w:val="0"/>
      <w:divBdr>
        <w:top w:val="none" w:sz="0" w:space="0" w:color="auto"/>
        <w:left w:val="none" w:sz="0" w:space="0" w:color="auto"/>
        <w:bottom w:val="none" w:sz="0" w:space="0" w:color="auto"/>
        <w:right w:val="none" w:sz="0" w:space="0" w:color="auto"/>
      </w:divBdr>
    </w:div>
    <w:div w:id="162816323">
      <w:bodyDiv w:val="1"/>
      <w:marLeft w:val="0"/>
      <w:marRight w:val="0"/>
      <w:marTop w:val="0"/>
      <w:marBottom w:val="0"/>
      <w:divBdr>
        <w:top w:val="none" w:sz="0" w:space="0" w:color="auto"/>
        <w:left w:val="none" w:sz="0" w:space="0" w:color="auto"/>
        <w:bottom w:val="none" w:sz="0" w:space="0" w:color="auto"/>
        <w:right w:val="none" w:sz="0" w:space="0" w:color="auto"/>
      </w:divBdr>
    </w:div>
    <w:div w:id="210503186">
      <w:bodyDiv w:val="1"/>
      <w:marLeft w:val="0"/>
      <w:marRight w:val="0"/>
      <w:marTop w:val="0"/>
      <w:marBottom w:val="0"/>
      <w:divBdr>
        <w:top w:val="none" w:sz="0" w:space="0" w:color="auto"/>
        <w:left w:val="none" w:sz="0" w:space="0" w:color="auto"/>
        <w:bottom w:val="none" w:sz="0" w:space="0" w:color="auto"/>
        <w:right w:val="none" w:sz="0" w:space="0" w:color="auto"/>
      </w:divBdr>
    </w:div>
    <w:div w:id="371998822">
      <w:bodyDiv w:val="1"/>
      <w:marLeft w:val="0"/>
      <w:marRight w:val="0"/>
      <w:marTop w:val="0"/>
      <w:marBottom w:val="0"/>
      <w:divBdr>
        <w:top w:val="none" w:sz="0" w:space="0" w:color="auto"/>
        <w:left w:val="none" w:sz="0" w:space="0" w:color="auto"/>
        <w:bottom w:val="none" w:sz="0" w:space="0" w:color="auto"/>
        <w:right w:val="none" w:sz="0" w:space="0" w:color="auto"/>
      </w:divBdr>
    </w:div>
    <w:div w:id="395444345">
      <w:bodyDiv w:val="1"/>
      <w:marLeft w:val="0"/>
      <w:marRight w:val="0"/>
      <w:marTop w:val="0"/>
      <w:marBottom w:val="0"/>
      <w:divBdr>
        <w:top w:val="none" w:sz="0" w:space="0" w:color="auto"/>
        <w:left w:val="none" w:sz="0" w:space="0" w:color="auto"/>
        <w:bottom w:val="none" w:sz="0" w:space="0" w:color="auto"/>
        <w:right w:val="none" w:sz="0" w:space="0" w:color="auto"/>
      </w:divBdr>
    </w:div>
    <w:div w:id="413355887">
      <w:bodyDiv w:val="1"/>
      <w:marLeft w:val="0"/>
      <w:marRight w:val="0"/>
      <w:marTop w:val="0"/>
      <w:marBottom w:val="0"/>
      <w:divBdr>
        <w:top w:val="none" w:sz="0" w:space="0" w:color="auto"/>
        <w:left w:val="none" w:sz="0" w:space="0" w:color="auto"/>
        <w:bottom w:val="none" w:sz="0" w:space="0" w:color="auto"/>
        <w:right w:val="none" w:sz="0" w:space="0" w:color="auto"/>
      </w:divBdr>
    </w:div>
    <w:div w:id="430274675">
      <w:bodyDiv w:val="1"/>
      <w:marLeft w:val="0"/>
      <w:marRight w:val="0"/>
      <w:marTop w:val="0"/>
      <w:marBottom w:val="0"/>
      <w:divBdr>
        <w:top w:val="none" w:sz="0" w:space="0" w:color="auto"/>
        <w:left w:val="none" w:sz="0" w:space="0" w:color="auto"/>
        <w:bottom w:val="none" w:sz="0" w:space="0" w:color="auto"/>
        <w:right w:val="none" w:sz="0" w:space="0" w:color="auto"/>
      </w:divBdr>
    </w:div>
    <w:div w:id="526601874">
      <w:bodyDiv w:val="1"/>
      <w:marLeft w:val="0"/>
      <w:marRight w:val="0"/>
      <w:marTop w:val="0"/>
      <w:marBottom w:val="0"/>
      <w:divBdr>
        <w:top w:val="none" w:sz="0" w:space="0" w:color="auto"/>
        <w:left w:val="none" w:sz="0" w:space="0" w:color="auto"/>
        <w:bottom w:val="none" w:sz="0" w:space="0" w:color="auto"/>
        <w:right w:val="none" w:sz="0" w:space="0" w:color="auto"/>
      </w:divBdr>
    </w:div>
    <w:div w:id="596064126">
      <w:bodyDiv w:val="1"/>
      <w:marLeft w:val="0"/>
      <w:marRight w:val="0"/>
      <w:marTop w:val="0"/>
      <w:marBottom w:val="0"/>
      <w:divBdr>
        <w:top w:val="none" w:sz="0" w:space="0" w:color="auto"/>
        <w:left w:val="none" w:sz="0" w:space="0" w:color="auto"/>
        <w:bottom w:val="none" w:sz="0" w:space="0" w:color="auto"/>
        <w:right w:val="none" w:sz="0" w:space="0" w:color="auto"/>
      </w:divBdr>
    </w:div>
    <w:div w:id="616183795">
      <w:bodyDiv w:val="1"/>
      <w:marLeft w:val="0"/>
      <w:marRight w:val="0"/>
      <w:marTop w:val="0"/>
      <w:marBottom w:val="0"/>
      <w:divBdr>
        <w:top w:val="none" w:sz="0" w:space="0" w:color="auto"/>
        <w:left w:val="none" w:sz="0" w:space="0" w:color="auto"/>
        <w:bottom w:val="none" w:sz="0" w:space="0" w:color="auto"/>
        <w:right w:val="none" w:sz="0" w:space="0" w:color="auto"/>
      </w:divBdr>
    </w:div>
    <w:div w:id="620460451">
      <w:bodyDiv w:val="1"/>
      <w:marLeft w:val="0"/>
      <w:marRight w:val="0"/>
      <w:marTop w:val="0"/>
      <w:marBottom w:val="0"/>
      <w:divBdr>
        <w:top w:val="none" w:sz="0" w:space="0" w:color="auto"/>
        <w:left w:val="none" w:sz="0" w:space="0" w:color="auto"/>
        <w:bottom w:val="none" w:sz="0" w:space="0" w:color="auto"/>
        <w:right w:val="none" w:sz="0" w:space="0" w:color="auto"/>
      </w:divBdr>
    </w:div>
    <w:div w:id="637419496">
      <w:bodyDiv w:val="1"/>
      <w:marLeft w:val="0"/>
      <w:marRight w:val="0"/>
      <w:marTop w:val="0"/>
      <w:marBottom w:val="0"/>
      <w:divBdr>
        <w:top w:val="none" w:sz="0" w:space="0" w:color="auto"/>
        <w:left w:val="none" w:sz="0" w:space="0" w:color="auto"/>
        <w:bottom w:val="none" w:sz="0" w:space="0" w:color="auto"/>
        <w:right w:val="none" w:sz="0" w:space="0" w:color="auto"/>
      </w:divBdr>
    </w:div>
    <w:div w:id="653066732">
      <w:bodyDiv w:val="1"/>
      <w:marLeft w:val="0"/>
      <w:marRight w:val="0"/>
      <w:marTop w:val="0"/>
      <w:marBottom w:val="0"/>
      <w:divBdr>
        <w:top w:val="none" w:sz="0" w:space="0" w:color="auto"/>
        <w:left w:val="none" w:sz="0" w:space="0" w:color="auto"/>
        <w:bottom w:val="none" w:sz="0" w:space="0" w:color="auto"/>
        <w:right w:val="none" w:sz="0" w:space="0" w:color="auto"/>
      </w:divBdr>
    </w:div>
    <w:div w:id="670136161">
      <w:bodyDiv w:val="1"/>
      <w:marLeft w:val="0"/>
      <w:marRight w:val="0"/>
      <w:marTop w:val="0"/>
      <w:marBottom w:val="0"/>
      <w:divBdr>
        <w:top w:val="none" w:sz="0" w:space="0" w:color="auto"/>
        <w:left w:val="none" w:sz="0" w:space="0" w:color="auto"/>
        <w:bottom w:val="none" w:sz="0" w:space="0" w:color="auto"/>
        <w:right w:val="none" w:sz="0" w:space="0" w:color="auto"/>
      </w:divBdr>
    </w:div>
    <w:div w:id="824126817">
      <w:bodyDiv w:val="1"/>
      <w:marLeft w:val="0"/>
      <w:marRight w:val="0"/>
      <w:marTop w:val="0"/>
      <w:marBottom w:val="0"/>
      <w:divBdr>
        <w:top w:val="none" w:sz="0" w:space="0" w:color="auto"/>
        <w:left w:val="none" w:sz="0" w:space="0" w:color="auto"/>
        <w:bottom w:val="none" w:sz="0" w:space="0" w:color="auto"/>
        <w:right w:val="none" w:sz="0" w:space="0" w:color="auto"/>
      </w:divBdr>
    </w:div>
    <w:div w:id="860513954">
      <w:bodyDiv w:val="1"/>
      <w:marLeft w:val="0"/>
      <w:marRight w:val="0"/>
      <w:marTop w:val="0"/>
      <w:marBottom w:val="0"/>
      <w:divBdr>
        <w:top w:val="none" w:sz="0" w:space="0" w:color="auto"/>
        <w:left w:val="none" w:sz="0" w:space="0" w:color="auto"/>
        <w:bottom w:val="none" w:sz="0" w:space="0" w:color="auto"/>
        <w:right w:val="none" w:sz="0" w:space="0" w:color="auto"/>
      </w:divBdr>
    </w:div>
    <w:div w:id="921572549">
      <w:bodyDiv w:val="1"/>
      <w:marLeft w:val="0"/>
      <w:marRight w:val="0"/>
      <w:marTop w:val="0"/>
      <w:marBottom w:val="0"/>
      <w:divBdr>
        <w:top w:val="none" w:sz="0" w:space="0" w:color="auto"/>
        <w:left w:val="none" w:sz="0" w:space="0" w:color="auto"/>
        <w:bottom w:val="none" w:sz="0" w:space="0" w:color="auto"/>
        <w:right w:val="none" w:sz="0" w:space="0" w:color="auto"/>
      </w:divBdr>
    </w:div>
    <w:div w:id="946235069">
      <w:bodyDiv w:val="1"/>
      <w:marLeft w:val="0"/>
      <w:marRight w:val="0"/>
      <w:marTop w:val="0"/>
      <w:marBottom w:val="0"/>
      <w:divBdr>
        <w:top w:val="none" w:sz="0" w:space="0" w:color="auto"/>
        <w:left w:val="none" w:sz="0" w:space="0" w:color="auto"/>
        <w:bottom w:val="none" w:sz="0" w:space="0" w:color="auto"/>
        <w:right w:val="none" w:sz="0" w:space="0" w:color="auto"/>
      </w:divBdr>
    </w:div>
    <w:div w:id="949628616">
      <w:bodyDiv w:val="1"/>
      <w:marLeft w:val="0"/>
      <w:marRight w:val="0"/>
      <w:marTop w:val="0"/>
      <w:marBottom w:val="0"/>
      <w:divBdr>
        <w:top w:val="none" w:sz="0" w:space="0" w:color="auto"/>
        <w:left w:val="none" w:sz="0" w:space="0" w:color="auto"/>
        <w:bottom w:val="none" w:sz="0" w:space="0" w:color="auto"/>
        <w:right w:val="none" w:sz="0" w:space="0" w:color="auto"/>
      </w:divBdr>
    </w:div>
    <w:div w:id="993489718">
      <w:bodyDiv w:val="1"/>
      <w:marLeft w:val="0"/>
      <w:marRight w:val="0"/>
      <w:marTop w:val="0"/>
      <w:marBottom w:val="0"/>
      <w:divBdr>
        <w:top w:val="none" w:sz="0" w:space="0" w:color="auto"/>
        <w:left w:val="none" w:sz="0" w:space="0" w:color="auto"/>
        <w:bottom w:val="none" w:sz="0" w:space="0" w:color="auto"/>
        <w:right w:val="none" w:sz="0" w:space="0" w:color="auto"/>
      </w:divBdr>
    </w:div>
    <w:div w:id="1006440258">
      <w:bodyDiv w:val="1"/>
      <w:marLeft w:val="0"/>
      <w:marRight w:val="0"/>
      <w:marTop w:val="0"/>
      <w:marBottom w:val="0"/>
      <w:divBdr>
        <w:top w:val="none" w:sz="0" w:space="0" w:color="auto"/>
        <w:left w:val="none" w:sz="0" w:space="0" w:color="auto"/>
        <w:bottom w:val="none" w:sz="0" w:space="0" w:color="auto"/>
        <w:right w:val="none" w:sz="0" w:space="0" w:color="auto"/>
      </w:divBdr>
    </w:div>
    <w:div w:id="1022318259">
      <w:bodyDiv w:val="1"/>
      <w:marLeft w:val="0"/>
      <w:marRight w:val="0"/>
      <w:marTop w:val="0"/>
      <w:marBottom w:val="0"/>
      <w:divBdr>
        <w:top w:val="none" w:sz="0" w:space="0" w:color="auto"/>
        <w:left w:val="none" w:sz="0" w:space="0" w:color="auto"/>
        <w:bottom w:val="none" w:sz="0" w:space="0" w:color="auto"/>
        <w:right w:val="none" w:sz="0" w:space="0" w:color="auto"/>
      </w:divBdr>
    </w:div>
    <w:div w:id="1024673544">
      <w:bodyDiv w:val="1"/>
      <w:marLeft w:val="0"/>
      <w:marRight w:val="0"/>
      <w:marTop w:val="0"/>
      <w:marBottom w:val="0"/>
      <w:divBdr>
        <w:top w:val="none" w:sz="0" w:space="0" w:color="auto"/>
        <w:left w:val="none" w:sz="0" w:space="0" w:color="auto"/>
        <w:bottom w:val="none" w:sz="0" w:space="0" w:color="auto"/>
        <w:right w:val="none" w:sz="0" w:space="0" w:color="auto"/>
      </w:divBdr>
    </w:div>
    <w:div w:id="1043097369">
      <w:bodyDiv w:val="1"/>
      <w:marLeft w:val="0"/>
      <w:marRight w:val="0"/>
      <w:marTop w:val="0"/>
      <w:marBottom w:val="0"/>
      <w:divBdr>
        <w:top w:val="none" w:sz="0" w:space="0" w:color="auto"/>
        <w:left w:val="none" w:sz="0" w:space="0" w:color="auto"/>
        <w:bottom w:val="none" w:sz="0" w:space="0" w:color="auto"/>
        <w:right w:val="none" w:sz="0" w:space="0" w:color="auto"/>
      </w:divBdr>
    </w:div>
    <w:div w:id="1078358418">
      <w:bodyDiv w:val="1"/>
      <w:marLeft w:val="0"/>
      <w:marRight w:val="0"/>
      <w:marTop w:val="0"/>
      <w:marBottom w:val="0"/>
      <w:divBdr>
        <w:top w:val="none" w:sz="0" w:space="0" w:color="auto"/>
        <w:left w:val="none" w:sz="0" w:space="0" w:color="auto"/>
        <w:bottom w:val="none" w:sz="0" w:space="0" w:color="auto"/>
        <w:right w:val="none" w:sz="0" w:space="0" w:color="auto"/>
      </w:divBdr>
    </w:div>
    <w:div w:id="1119030855">
      <w:bodyDiv w:val="1"/>
      <w:marLeft w:val="0"/>
      <w:marRight w:val="0"/>
      <w:marTop w:val="0"/>
      <w:marBottom w:val="0"/>
      <w:divBdr>
        <w:top w:val="none" w:sz="0" w:space="0" w:color="auto"/>
        <w:left w:val="none" w:sz="0" w:space="0" w:color="auto"/>
        <w:bottom w:val="none" w:sz="0" w:space="0" w:color="auto"/>
        <w:right w:val="none" w:sz="0" w:space="0" w:color="auto"/>
      </w:divBdr>
    </w:div>
    <w:div w:id="1152481970">
      <w:bodyDiv w:val="1"/>
      <w:marLeft w:val="0"/>
      <w:marRight w:val="0"/>
      <w:marTop w:val="0"/>
      <w:marBottom w:val="0"/>
      <w:divBdr>
        <w:top w:val="none" w:sz="0" w:space="0" w:color="auto"/>
        <w:left w:val="none" w:sz="0" w:space="0" w:color="auto"/>
        <w:bottom w:val="none" w:sz="0" w:space="0" w:color="auto"/>
        <w:right w:val="none" w:sz="0" w:space="0" w:color="auto"/>
      </w:divBdr>
    </w:div>
    <w:div w:id="1155563124">
      <w:bodyDiv w:val="1"/>
      <w:marLeft w:val="0"/>
      <w:marRight w:val="0"/>
      <w:marTop w:val="0"/>
      <w:marBottom w:val="0"/>
      <w:divBdr>
        <w:top w:val="none" w:sz="0" w:space="0" w:color="auto"/>
        <w:left w:val="none" w:sz="0" w:space="0" w:color="auto"/>
        <w:bottom w:val="none" w:sz="0" w:space="0" w:color="auto"/>
        <w:right w:val="none" w:sz="0" w:space="0" w:color="auto"/>
      </w:divBdr>
    </w:div>
    <w:div w:id="1166283905">
      <w:bodyDiv w:val="1"/>
      <w:marLeft w:val="0"/>
      <w:marRight w:val="0"/>
      <w:marTop w:val="0"/>
      <w:marBottom w:val="0"/>
      <w:divBdr>
        <w:top w:val="none" w:sz="0" w:space="0" w:color="auto"/>
        <w:left w:val="none" w:sz="0" w:space="0" w:color="auto"/>
        <w:bottom w:val="none" w:sz="0" w:space="0" w:color="auto"/>
        <w:right w:val="none" w:sz="0" w:space="0" w:color="auto"/>
      </w:divBdr>
    </w:div>
    <w:div w:id="1207449650">
      <w:bodyDiv w:val="1"/>
      <w:marLeft w:val="0"/>
      <w:marRight w:val="0"/>
      <w:marTop w:val="0"/>
      <w:marBottom w:val="0"/>
      <w:divBdr>
        <w:top w:val="none" w:sz="0" w:space="0" w:color="auto"/>
        <w:left w:val="none" w:sz="0" w:space="0" w:color="auto"/>
        <w:bottom w:val="none" w:sz="0" w:space="0" w:color="auto"/>
        <w:right w:val="none" w:sz="0" w:space="0" w:color="auto"/>
      </w:divBdr>
    </w:div>
    <w:div w:id="1249928520">
      <w:bodyDiv w:val="1"/>
      <w:marLeft w:val="0"/>
      <w:marRight w:val="0"/>
      <w:marTop w:val="0"/>
      <w:marBottom w:val="0"/>
      <w:divBdr>
        <w:top w:val="none" w:sz="0" w:space="0" w:color="auto"/>
        <w:left w:val="none" w:sz="0" w:space="0" w:color="auto"/>
        <w:bottom w:val="none" w:sz="0" w:space="0" w:color="auto"/>
        <w:right w:val="none" w:sz="0" w:space="0" w:color="auto"/>
      </w:divBdr>
    </w:div>
    <w:div w:id="1272468946">
      <w:bodyDiv w:val="1"/>
      <w:marLeft w:val="0"/>
      <w:marRight w:val="0"/>
      <w:marTop w:val="0"/>
      <w:marBottom w:val="0"/>
      <w:divBdr>
        <w:top w:val="none" w:sz="0" w:space="0" w:color="auto"/>
        <w:left w:val="none" w:sz="0" w:space="0" w:color="auto"/>
        <w:bottom w:val="none" w:sz="0" w:space="0" w:color="auto"/>
        <w:right w:val="none" w:sz="0" w:space="0" w:color="auto"/>
      </w:divBdr>
    </w:div>
    <w:div w:id="1344166136">
      <w:bodyDiv w:val="1"/>
      <w:marLeft w:val="0"/>
      <w:marRight w:val="0"/>
      <w:marTop w:val="0"/>
      <w:marBottom w:val="0"/>
      <w:divBdr>
        <w:top w:val="none" w:sz="0" w:space="0" w:color="auto"/>
        <w:left w:val="none" w:sz="0" w:space="0" w:color="auto"/>
        <w:bottom w:val="none" w:sz="0" w:space="0" w:color="auto"/>
        <w:right w:val="none" w:sz="0" w:space="0" w:color="auto"/>
      </w:divBdr>
    </w:div>
    <w:div w:id="1405491546">
      <w:bodyDiv w:val="1"/>
      <w:marLeft w:val="0"/>
      <w:marRight w:val="0"/>
      <w:marTop w:val="0"/>
      <w:marBottom w:val="0"/>
      <w:divBdr>
        <w:top w:val="none" w:sz="0" w:space="0" w:color="auto"/>
        <w:left w:val="none" w:sz="0" w:space="0" w:color="auto"/>
        <w:bottom w:val="none" w:sz="0" w:space="0" w:color="auto"/>
        <w:right w:val="none" w:sz="0" w:space="0" w:color="auto"/>
      </w:divBdr>
    </w:div>
    <w:div w:id="1410232873">
      <w:bodyDiv w:val="1"/>
      <w:marLeft w:val="0"/>
      <w:marRight w:val="0"/>
      <w:marTop w:val="0"/>
      <w:marBottom w:val="0"/>
      <w:divBdr>
        <w:top w:val="none" w:sz="0" w:space="0" w:color="auto"/>
        <w:left w:val="none" w:sz="0" w:space="0" w:color="auto"/>
        <w:bottom w:val="none" w:sz="0" w:space="0" w:color="auto"/>
        <w:right w:val="none" w:sz="0" w:space="0" w:color="auto"/>
      </w:divBdr>
    </w:div>
    <w:div w:id="1423643927">
      <w:bodyDiv w:val="1"/>
      <w:marLeft w:val="0"/>
      <w:marRight w:val="0"/>
      <w:marTop w:val="0"/>
      <w:marBottom w:val="0"/>
      <w:divBdr>
        <w:top w:val="none" w:sz="0" w:space="0" w:color="auto"/>
        <w:left w:val="none" w:sz="0" w:space="0" w:color="auto"/>
        <w:bottom w:val="none" w:sz="0" w:space="0" w:color="auto"/>
        <w:right w:val="none" w:sz="0" w:space="0" w:color="auto"/>
      </w:divBdr>
    </w:div>
    <w:div w:id="1443109818">
      <w:bodyDiv w:val="1"/>
      <w:marLeft w:val="0"/>
      <w:marRight w:val="0"/>
      <w:marTop w:val="0"/>
      <w:marBottom w:val="0"/>
      <w:divBdr>
        <w:top w:val="none" w:sz="0" w:space="0" w:color="auto"/>
        <w:left w:val="none" w:sz="0" w:space="0" w:color="auto"/>
        <w:bottom w:val="none" w:sz="0" w:space="0" w:color="auto"/>
        <w:right w:val="none" w:sz="0" w:space="0" w:color="auto"/>
      </w:divBdr>
    </w:div>
    <w:div w:id="1452747041">
      <w:bodyDiv w:val="1"/>
      <w:marLeft w:val="0"/>
      <w:marRight w:val="0"/>
      <w:marTop w:val="0"/>
      <w:marBottom w:val="0"/>
      <w:divBdr>
        <w:top w:val="none" w:sz="0" w:space="0" w:color="auto"/>
        <w:left w:val="none" w:sz="0" w:space="0" w:color="auto"/>
        <w:bottom w:val="none" w:sz="0" w:space="0" w:color="auto"/>
        <w:right w:val="none" w:sz="0" w:space="0" w:color="auto"/>
      </w:divBdr>
    </w:div>
    <w:div w:id="1455635176">
      <w:bodyDiv w:val="1"/>
      <w:marLeft w:val="0"/>
      <w:marRight w:val="0"/>
      <w:marTop w:val="0"/>
      <w:marBottom w:val="0"/>
      <w:divBdr>
        <w:top w:val="none" w:sz="0" w:space="0" w:color="auto"/>
        <w:left w:val="none" w:sz="0" w:space="0" w:color="auto"/>
        <w:bottom w:val="none" w:sz="0" w:space="0" w:color="auto"/>
        <w:right w:val="none" w:sz="0" w:space="0" w:color="auto"/>
      </w:divBdr>
    </w:div>
    <w:div w:id="1488127041">
      <w:bodyDiv w:val="1"/>
      <w:marLeft w:val="0"/>
      <w:marRight w:val="0"/>
      <w:marTop w:val="0"/>
      <w:marBottom w:val="0"/>
      <w:divBdr>
        <w:top w:val="none" w:sz="0" w:space="0" w:color="auto"/>
        <w:left w:val="none" w:sz="0" w:space="0" w:color="auto"/>
        <w:bottom w:val="none" w:sz="0" w:space="0" w:color="auto"/>
        <w:right w:val="none" w:sz="0" w:space="0" w:color="auto"/>
      </w:divBdr>
    </w:div>
    <w:div w:id="1526751138">
      <w:bodyDiv w:val="1"/>
      <w:marLeft w:val="0"/>
      <w:marRight w:val="0"/>
      <w:marTop w:val="0"/>
      <w:marBottom w:val="0"/>
      <w:divBdr>
        <w:top w:val="none" w:sz="0" w:space="0" w:color="auto"/>
        <w:left w:val="none" w:sz="0" w:space="0" w:color="auto"/>
        <w:bottom w:val="none" w:sz="0" w:space="0" w:color="auto"/>
        <w:right w:val="none" w:sz="0" w:space="0" w:color="auto"/>
      </w:divBdr>
    </w:div>
    <w:div w:id="1549148983">
      <w:bodyDiv w:val="1"/>
      <w:marLeft w:val="0"/>
      <w:marRight w:val="0"/>
      <w:marTop w:val="0"/>
      <w:marBottom w:val="0"/>
      <w:divBdr>
        <w:top w:val="none" w:sz="0" w:space="0" w:color="auto"/>
        <w:left w:val="none" w:sz="0" w:space="0" w:color="auto"/>
        <w:bottom w:val="none" w:sz="0" w:space="0" w:color="auto"/>
        <w:right w:val="none" w:sz="0" w:space="0" w:color="auto"/>
      </w:divBdr>
    </w:div>
    <w:div w:id="1639603435">
      <w:bodyDiv w:val="1"/>
      <w:marLeft w:val="0"/>
      <w:marRight w:val="0"/>
      <w:marTop w:val="0"/>
      <w:marBottom w:val="0"/>
      <w:divBdr>
        <w:top w:val="none" w:sz="0" w:space="0" w:color="auto"/>
        <w:left w:val="none" w:sz="0" w:space="0" w:color="auto"/>
        <w:bottom w:val="none" w:sz="0" w:space="0" w:color="auto"/>
        <w:right w:val="none" w:sz="0" w:space="0" w:color="auto"/>
      </w:divBdr>
    </w:div>
    <w:div w:id="1642922395">
      <w:bodyDiv w:val="1"/>
      <w:marLeft w:val="0"/>
      <w:marRight w:val="0"/>
      <w:marTop w:val="0"/>
      <w:marBottom w:val="0"/>
      <w:divBdr>
        <w:top w:val="none" w:sz="0" w:space="0" w:color="auto"/>
        <w:left w:val="none" w:sz="0" w:space="0" w:color="auto"/>
        <w:bottom w:val="none" w:sz="0" w:space="0" w:color="auto"/>
        <w:right w:val="none" w:sz="0" w:space="0" w:color="auto"/>
      </w:divBdr>
    </w:div>
    <w:div w:id="1680158128">
      <w:bodyDiv w:val="1"/>
      <w:marLeft w:val="0"/>
      <w:marRight w:val="0"/>
      <w:marTop w:val="0"/>
      <w:marBottom w:val="0"/>
      <w:divBdr>
        <w:top w:val="none" w:sz="0" w:space="0" w:color="auto"/>
        <w:left w:val="none" w:sz="0" w:space="0" w:color="auto"/>
        <w:bottom w:val="none" w:sz="0" w:space="0" w:color="auto"/>
        <w:right w:val="none" w:sz="0" w:space="0" w:color="auto"/>
      </w:divBdr>
    </w:div>
    <w:div w:id="1720519299">
      <w:bodyDiv w:val="1"/>
      <w:marLeft w:val="0"/>
      <w:marRight w:val="0"/>
      <w:marTop w:val="0"/>
      <w:marBottom w:val="0"/>
      <w:divBdr>
        <w:top w:val="none" w:sz="0" w:space="0" w:color="auto"/>
        <w:left w:val="none" w:sz="0" w:space="0" w:color="auto"/>
        <w:bottom w:val="none" w:sz="0" w:space="0" w:color="auto"/>
        <w:right w:val="none" w:sz="0" w:space="0" w:color="auto"/>
      </w:divBdr>
    </w:div>
    <w:div w:id="1722292022">
      <w:bodyDiv w:val="1"/>
      <w:marLeft w:val="0"/>
      <w:marRight w:val="0"/>
      <w:marTop w:val="0"/>
      <w:marBottom w:val="0"/>
      <w:divBdr>
        <w:top w:val="none" w:sz="0" w:space="0" w:color="auto"/>
        <w:left w:val="none" w:sz="0" w:space="0" w:color="auto"/>
        <w:bottom w:val="none" w:sz="0" w:space="0" w:color="auto"/>
        <w:right w:val="none" w:sz="0" w:space="0" w:color="auto"/>
      </w:divBdr>
    </w:div>
    <w:div w:id="1746997254">
      <w:bodyDiv w:val="1"/>
      <w:marLeft w:val="0"/>
      <w:marRight w:val="0"/>
      <w:marTop w:val="0"/>
      <w:marBottom w:val="0"/>
      <w:divBdr>
        <w:top w:val="none" w:sz="0" w:space="0" w:color="auto"/>
        <w:left w:val="none" w:sz="0" w:space="0" w:color="auto"/>
        <w:bottom w:val="none" w:sz="0" w:space="0" w:color="auto"/>
        <w:right w:val="none" w:sz="0" w:space="0" w:color="auto"/>
      </w:divBdr>
    </w:div>
    <w:div w:id="1795833522">
      <w:bodyDiv w:val="1"/>
      <w:marLeft w:val="0"/>
      <w:marRight w:val="0"/>
      <w:marTop w:val="0"/>
      <w:marBottom w:val="0"/>
      <w:divBdr>
        <w:top w:val="none" w:sz="0" w:space="0" w:color="auto"/>
        <w:left w:val="none" w:sz="0" w:space="0" w:color="auto"/>
        <w:bottom w:val="none" w:sz="0" w:space="0" w:color="auto"/>
        <w:right w:val="none" w:sz="0" w:space="0" w:color="auto"/>
      </w:divBdr>
    </w:div>
    <w:div w:id="1855800293">
      <w:bodyDiv w:val="1"/>
      <w:marLeft w:val="0"/>
      <w:marRight w:val="0"/>
      <w:marTop w:val="0"/>
      <w:marBottom w:val="0"/>
      <w:divBdr>
        <w:top w:val="none" w:sz="0" w:space="0" w:color="auto"/>
        <w:left w:val="none" w:sz="0" w:space="0" w:color="auto"/>
        <w:bottom w:val="none" w:sz="0" w:space="0" w:color="auto"/>
        <w:right w:val="none" w:sz="0" w:space="0" w:color="auto"/>
      </w:divBdr>
    </w:div>
    <w:div w:id="1873686187">
      <w:bodyDiv w:val="1"/>
      <w:marLeft w:val="0"/>
      <w:marRight w:val="0"/>
      <w:marTop w:val="0"/>
      <w:marBottom w:val="0"/>
      <w:divBdr>
        <w:top w:val="none" w:sz="0" w:space="0" w:color="auto"/>
        <w:left w:val="none" w:sz="0" w:space="0" w:color="auto"/>
        <w:bottom w:val="none" w:sz="0" w:space="0" w:color="auto"/>
        <w:right w:val="none" w:sz="0" w:space="0" w:color="auto"/>
      </w:divBdr>
    </w:div>
    <w:div w:id="1904024043">
      <w:bodyDiv w:val="1"/>
      <w:marLeft w:val="0"/>
      <w:marRight w:val="0"/>
      <w:marTop w:val="0"/>
      <w:marBottom w:val="0"/>
      <w:divBdr>
        <w:top w:val="none" w:sz="0" w:space="0" w:color="auto"/>
        <w:left w:val="none" w:sz="0" w:space="0" w:color="auto"/>
        <w:bottom w:val="none" w:sz="0" w:space="0" w:color="auto"/>
        <w:right w:val="none" w:sz="0" w:space="0" w:color="auto"/>
      </w:divBdr>
    </w:div>
    <w:div w:id="1932204093">
      <w:bodyDiv w:val="1"/>
      <w:marLeft w:val="0"/>
      <w:marRight w:val="0"/>
      <w:marTop w:val="0"/>
      <w:marBottom w:val="0"/>
      <w:divBdr>
        <w:top w:val="none" w:sz="0" w:space="0" w:color="auto"/>
        <w:left w:val="none" w:sz="0" w:space="0" w:color="auto"/>
        <w:bottom w:val="none" w:sz="0" w:space="0" w:color="auto"/>
        <w:right w:val="none" w:sz="0" w:space="0" w:color="auto"/>
      </w:divBdr>
    </w:div>
    <w:div w:id="1993286673">
      <w:bodyDiv w:val="1"/>
      <w:marLeft w:val="0"/>
      <w:marRight w:val="0"/>
      <w:marTop w:val="0"/>
      <w:marBottom w:val="0"/>
      <w:divBdr>
        <w:top w:val="none" w:sz="0" w:space="0" w:color="auto"/>
        <w:left w:val="none" w:sz="0" w:space="0" w:color="auto"/>
        <w:bottom w:val="none" w:sz="0" w:space="0" w:color="auto"/>
        <w:right w:val="none" w:sz="0" w:space="0" w:color="auto"/>
      </w:divBdr>
    </w:div>
    <w:div w:id="1995328343">
      <w:bodyDiv w:val="1"/>
      <w:marLeft w:val="0"/>
      <w:marRight w:val="0"/>
      <w:marTop w:val="0"/>
      <w:marBottom w:val="0"/>
      <w:divBdr>
        <w:top w:val="none" w:sz="0" w:space="0" w:color="auto"/>
        <w:left w:val="none" w:sz="0" w:space="0" w:color="auto"/>
        <w:bottom w:val="none" w:sz="0" w:space="0" w:color="auto"/>
        <w:right w:val="none" w:sz="0" w:space="0" w:color="auto"/>
      </w:divBdr>
    </w:div>
    <w:div w:id="2017730340">
      <w:bodyDiv w:val="1"/>
      <w:marLeft w:val="0"/>
      <w:marRight w:val="0"/>
      <w:marTop w:val="0"/>
      <w:marBottom w:val="0"/>
      <w:divBdr>
        <w:top w:val="none" w:sz="0" w:space="0" w:color="auto"/>
        <w:left w:val="none" w:sz="0" w:space="0" w:color="auto"/>
        <w:bottom w:val="none" w:sz="0" w:space="0" w:color="auto"/>
        <w:right w:val="none" w:sz="0" w:space="0" w:color="auto"/>
      </w:divBdr>
    </w:div>
    <w:div w:id="2048722705">
      <w:bodyDiv w:val="1"/>
      <w:marLeft w:val="0"/>
      <w:marRight w:val="0"/>
      <w:marTop w:val="0"/>
      <w:marBottom w:val="0"/>
      <w:divBdr>
        <w:top w:val="none" w:sz="0" w:space="0" w:color="auto"/>
        <w:left w:val="none" w:sz="0" w:space="0" w:color="auto"/>
        <w:bottom w:val="none" w:sz="0" w:space="0" w:color="auto"/>
        <w:right w:val="none" w:sz="0" w:space="0" w:color="auto"/>
      </w:divBdr>
    </w:div>
    <w:div w:id="2062361144">
      <w:bodyDiv w:val="1"/>
      <w:marLeft w:val="0"/>
      <w:marRight w:val="0"/>
      <w:marTop w:val="0"/>
      <w:marBottom w:val="0"/>
      <w:divBdr>
        <w:top w:val="none" w:sz="0" w:space="0" w:color="auto"/>
        <w:left w:val="none" w:sz="0" w:space="0" w:color="auto"/>
        <w:bottom w:val="none" w:sz="0" w:space="0" w:color="auto"/>
        <w:right w:val="none" w:sz="0" w:space="0" w:color="auto"/>
      </w:divBdr>
    </w:div>
    <w:div w:id="21028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regeringen.se/sveriges-regering/finansdepartementet/statens-budget/statens-budget-i-siffro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4D51F-CA29-41C1-84F9-07689A0D3C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82D5C1-CE94-4A78-BEB2-74AB7B52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31879E-038F-4144-B5B6-EFA444527F08}">
  <ds:schemaRefs>
    <ds:schemaRef ds:uri="http://schemas.microsoft.com/sharepoint/v3/contenttype/forms"/>
  </ds:schemaRefs>
</ds:datastoreItem>
</file>

<file path=customXml/itemProps4.xml><?xml version="1.0" encoding="utf-8"?>
<ds:datastoreItem xmlns:ds="http://schemas.openxmlformats.org/officeDocument/2006/customXml" ds:itemID="{D0585BF1-90D2-4C04-A38B-4B62F5C8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23</Pages>
  <Words>9944</Words>
  <Characters>56682</Characters>
  <Application>Microsoft Office Word</Application>
  <DocSecurity>0</DocSecurity>
  <Lines>472</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CRPD/C/23/DR/45/2018</vt:lpstr>
      <vt:lpstr>1363951</vt:lpstr>
    </vt:vector>
  </TitlesOfParts>
  <Company>CSD</Company>
  <LinksUpToDate>false</LinksUpToDate>
  <CharactersWithSpaces>66494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CRPD/C/23/DR/45/2018</dc:title>
  <dc:subject>2000788</dc:subject>
  <dc:creator>Bunting Seeber</dc:creator>
  <cp:keywords/>
  <dc:description>Final</dc:description>
  <cp:lastModifiedBy>Sopio Davituri (PGR)</cp:lastModifiedBy>
  <cp:revision>4</cp:revision>
  <cp:lastPrinted>2008-01-29T13:17:00Z</cp:lastPrinted>
  <dcterms:created xsi:type="dcterms:W3CDTF">2022-07-05T00:58:00Z</dcterms:created>
  <dcterms:modified xsi:type="dcterms:W3CDTF">2022-07-05T21:28:00Z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